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3FB2368D">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72F7935A"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p>
        </w:tc>
      </w:tr>
      <w:tr w:rsidR="00CE544A" w:rsidRPr="003E4C33" w14:paraId="33BEC222" w14:textId="77777777" w:rsidTr="3FB2368D">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18796FDC" w:rsidR="00F445B1" w:rsidRPr="00C55247" w:rsidRDefault="00077CB9" w:rsidP="007B5CA2">
            <w:pPr>
              <w:rPr>
                <w:rFonts w:cs="Arial"/>
                <w:b/>
                <w:bCs/>
                <w:color w:val="auto"/>
              </w:rPr>
            </w:pPr>
            <w:r>
              <w:rPr>
                <w:rStyle w:val="Firstpagetablebold"/>
                <w:b w:val="0"/>
              </w:rPr>
              <w:t>20 October 2025</w:t>
            </w:r>
          </w:p>
        </w:tc>
      </w:tr>
      <w:tr w:rsidR="00CE544A" w:rsidRPr="003E4C33" w14:paraId="4976D647" w14:textId="77777777" w:rsidTr="3FB2368D">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tcPr>
          <w:p w14:paraId="4CADFAAE" w14:textId="43CB64B4" w:rsidR="00F445B1" w:rsidRPr="00C55247" w:rsidRDefault="002F71CC" w:rsidP="2BB29E7E">
            <w:pPr>
              <w:rPr>
                <w:rStyle w:val="Firstpagetablebold"/>
                <w:rFonts w:cs="Arial"/>
                <w:b w:val="0"/>
                <w:color w:val="auto"/>
              </w:rPr>
            </w:pPr>
            <w:r>
              <w:rPr>
                <w:rStyle w:val="Firstpagetablebold"/>
                <w:rFonts w:cs="Arial"/>
                <w:b w:val="0"/>
                <w:color w:val="auto"/>
              </w:rPr>
              <w:t xml:space="preserve">Tom Hook – Deputy Chief Executive – City and Citizens </w:t>
            </w:r>
          </w:p>
        </w:tc>
      </w:tr>
      <w:tr w:rsidR="00CE544A" w:rsidRPr="003E4C33" w14:paraId="1CE13DCA" w14:textId="77777777" w:rsidTr="3FB2368D">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19480381" w14:textId="5C6409D5" w:rsidR="0054362C" w:rsidRDefault="5068030F" w:rsidP="6661516E">
            <w:pPr>
              <w:rPr>
                <w:rStyle w:val="Firstpagetablebold"/>
                <w:rFonts w:cs="Arial"/>
                <w:b w:val="0"/>
                <w:color w:val="auto"/>
              </w:rPr>
            </w:pPr>
            <w:r>
              <w:rPr>
                <w:rStyle w:val="normaltextrun"/>
                <w:rFonts w:cs="Arial"/>
                <w:shd w:val="clear" w:color="auto" w:fill="FFFFFF"/>
              </w:rPr>
              <w:t>Furnished Tenancy S</w:t>
            </w:r>
            <w:r w:rsidR="3EB8861C">
              <w:rPr>
                <w:rStyle w:val="normaltextrun"/>
                <w:rFonts w:cs="Arial"/>
                <w:shd w:val="clear" w:color="auto" w:fill="FFFFFF"/>
              </w:rPr>
              <w:t>cheme</w:t>
            </w:r>
            <w:r>
              <w:rPr>
                <w:rStyle w:val="normaltextrun"/>
                <w:rFonts w:cs="Arial"/>
                <w:shd w:val="clear" w:color="auto" w:fill="FFFFFF"/>
              </w:rPr>
              <w:t xml:space="preserve"> contract award</w:t>
            </w:r>
          </w:p>
          <w:p w14:paraId="04146131" w14:textId="74D47DA7" w:rsidR="0054362C" w:rsidRDefault="0054362C" w:rsidP="6705CB2F">
            <w:pPr>
              <w:rPr>
                <w:rStyle w:val="Firstpagetablebold"/>
                <w:rFonts w:cs="Arial"/>
                <w:b w:val="0"/>
                <w:color w:val="auto"/>
              </w:rPr>
            </w:pP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3FB2368D">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3FB2368D">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6028147A" w14:textId="5024C191" w:rsidR="00D5547E" w:rsidRPr="00C55247" w:rsidRDefault="7E3E8BA7" w:rsidP="6661516E">
            <w:pPr>
              <w:rPr>
                <w:rFonts w:cs="Arial"/>
                <w:color w:val="auto"/>
              </w:rPr>
            </w:pPr>
            <w:r w:rsidRPr="6661516E">
              <w:rPr>
                <w:rFonts w:eastAsia="Arial" w:cs="Arial"/>
              </w:rPr>
              <w:t xml:space="preserve">Award of contract to </w:t>
            </w:r>
            <w:r w:rsidRPr="6661516E">
              <w:rPr>
                <w:rStyle w:val="normaltextrun"/>
                <w:rFonts w:cs="Arial"/>
              </w:rPr>
              <w:t>Underley Furnishings Ltd (T/a ‘Furnished Homes’)</w:t>
            </w:r>
            <w:r w:rsidRPr="6661516E">
              <w:rPr>
                <w:rFonts w:eastAsia="Arial" w:cs="Arial"/>
              </w:rPr>
              <w:t xml:space="preserve"> to provide a Furnished Tenancy Scheme for 3 years with the option to extend by a further two years, to a maximum contract length of 5 years. </w:t>
            </w:r>
          </w:p>
          <w:p w14:paraId="1A556BE9" w14:textId="1D4C45CD" w:rsidR="00D5547E" w:rsidRPr="00C55247" w:rsidRDefault="00D5547E" w:rsidP="57A32ECB">
            <w:pPr>
              <w:rPr>
                <w:rFonts w:cs="Arial"/>
                <w:color w:val="FF0000"/>
              </w:rPr>
            </w:pPr>
          </w:p>
        </w:tc>
      </w:tr>
      <w:tr w:rsidR="00D5547E" w:rsidRPr="003E4C33" w14:paraId="14C2CC29" w14:textId="77777777" w:rsidTr="3FB2368D">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524CC755" w:rsidR="00D5547E" w:rsidRPr="00C55247" w:rsidRDefault="46CF963A" w:rsidP="6C523638">
            <w:pPr>
              <w:rPr>
                <w:rFonts w:cs="Arial"/>
                <w:color w:val="FF0000"/>
              </w:rPr>
            </w:pPr>
            <w:r w:rsidRPr="3FB2368D">
              <w:rPr>
                <w:rFonts w:cs="Arial"/>
                <w:color w:val="auto"/>
              </w:rPr>
              <w:t>Yes</w:t>
            </w:r>
          </w:p>
        </w:tc>
      </w:tr>
      <w:tr w:rsidR="006B2DE1" w:rsidRPr="003E4C33" w14:paraId="631D49A6" w14:textId="77777777" w:rsidTr="3FB2368D">
        <w:tc>
          <w:tcPr>
            <w:tcW w:w="2438" w:type="dxa"/>
            <w:tcBorders>
              <w:top w:val="nil"/>
              <w:left w:val="single" w:sz="8" w:space="0" w:color="000000" w:themeColor="text1"/>
              <w:bottom w:val="nil"/>
              <w:right w:val="nil"/>
            </w:tcBorders>
          </w:tcPr>
          <w:p w14:paraId="17BC101D" w14:textId="4E042A52" w:rsidR="006B2DE1" w:rsidRPr="003E4C33" w:rsidRDefault="2C08DC99" w:rsidP="2A4FE5E6">
            <w:pPr>
              <w:spacing w:line="259" w:lineRule="auto"/>
              <w:rPr>
                <w:rStyle w:val="Firstpagetablebold"/>
                <w:rFonts w:cs="Arial"/>
              </w:rPr>
            </w:pPr>
            <w:r w:rsidRPr="2A4FE5E6">
              <w:rPr>
                <w:rStyle w:val="Firstpagetablebold"/>
                <w:rFonts w:cs="Arial"/>
              </w:rPr>
              <w:t>Source of delegation:</w:t>
            </w:r>
          </w:p>
        </w:tc>
        <w:tc>
          <w:tcPr>
            <w:tcW w:w="6407" w:type="dxa"/>
            <w:tcBorders>
              <w:top w:val="nil"/>
              <w:left w:val="nil"/>
              <w:bottom w:val="nil"/>
              <w:right w:val="single" w:sz="8" w:space="0" w:color="000000" w:themeColor="text1"/>
            </w:tcBorders>
          </w:tcPr>
          <w:p w14:paraId="02009D57" w14:textId="531FBC1F" w:rsidR="008F3969" w:rsidRDefault="002F71CC" w:rsidP="00523261">
            <w:pPr>
              <w:rPr>
                <w:rFonts w:cs="Arial"/>
                <w:color w:val="auto"/>
              </w:rPr>
            </w:pPr>
            <w:r w:rsidRPr="00A03FBA">
              <w:rPr>
                <w:rFonts w:cs="Arial"/>
                <w:color w:val="auto"/>
              </w:rPr>
              <w:t>Cabinet</w:t>
            </w:r>
            <w:r w:rsidR="00702597" w:rsidRPr="00A03FBA">
              <w:rPr>
                <w:rFonts w:cs="Arial"/>
                <w:color w:val="auto"/>
              </w:rPr>
              <w:t xml:space="preserve"> on 13</w:t>
            </w:r>
            <w:r w:rsidR="00702597" w:rsidRPr="00A03FBA">
              <w:rPr>
                <w:rFonts w:cs="Arial"/>
                <w:color w:val="auto"/>
                <w:vertAlign w:val="superscript"/>
              </w:rPr>
              <w:t>th</w:t>
            </w:r>
            <w:r w:rsidR="00702597" w:rsidRPr="00A03FBA">
              <w:rPr>
                <w:rFonts w:cs="Arial"/>
                <w:color w:val="auto"/>
              </w:rPr>
              <w:t xml:space="preserve"> November 2024 delegated authority to the Interim Executive Director for Communities and People</w:t>
            </w:r>
            <w:r w:rsidR="00A03FBA" w:rsidRPr="00A03FBA">
              <w:rPr>
                <w:rFonts w:cs="Arial"/>
                <w:color w:val="auto"/>
              </w:rPr>
              <w:t xml:space="preserve"> (replaced by Deputy Chief Executive)</w:t>
            </w:r>
            <w:r w:rsidR="00702597" w:rsidRPr="00A03FBA">
              <w:rPr>
                <w:rFonts w:cs="Arial"/>
                <w:color w:val="auto"/>
              </w:rPr>
              <w:t xml:space="preserve"> in consultation </w:t>
            </w:r>
            <w:r w:rsidR="00702597">
              <w:rPr>
                <w:rFonts w:cs="Arial"/>
                <w:color w:val="auto"/>
              </w:rPr>
              <w:t>with the Section 151</w:t>
            </w:r>
            <w:r w:rsidR="00A42567">
              <w:rPr>
                <w:rFonts w:cs="Arial"/>
                <w:color w:val="auto"/>
              </w:rPr>
              <w:t xml:space="preserve"> </w:t>
            </w:r>
            <w:r w:rsidR="00702597">
              <w:rPr>
                <w:rFonts w:cs="Arial"/>
                <w:color w:val="auto"/>
              </w:rPr>
              <w:t xml:space="preserve">Officer, </w:t>
            </w:r>
            <w:r w:rsidR="008F3969">
              <w:rPr>
                <w:rFonts w:cs="Arial"/>
                <w:color w:val="auto"/>
              </w:rPr>
              <w:t>authority to award a Furnished Tenancy Scheme contract to a supplier or supplier, selected by an evaluation panel, following a fully compliant procurement process.</w:t>
            </w:r>
            <w:r w:rsidR="00A03FBA">
              <w:rPr>
                <w:rFonts w:cs="Arial"/>
                <w:color w:val="auto"/>
              </w:rPr>
              <w:t xml:space="preserve"> </w:t>
            </w:r>
          </w:p>
          <w:p w14:paraId="361EC255" w14:textId="77777777" w:rsidR="00A03FBA" w:rsidRDefault="00000000" w:rsidP="00A03FBA">
            <w:pPr>
              <w:spacing w:after="0"/>
              <w:rPr>
                <w:color w:val="auto"/>
              </w:rPr>
            </w:pPr>
            <w:hyperlink r:id="rId11" w:history="1">
              <w:r w:rsidR="00A03FBA">
                <w:rPr>
                  <w:rStyle w:val="Hyperlink"/>
                </w:rPr>
                <w:t>Furnished Tenancy Cabinet Report - Final Draft.docx</w:t>
              </w:r>
            </w:hyperlink>
          </w:p>
          <w:p w14:paraId="1AEA5804" w14:textId="61F16A6C" w:rsidR="00A03FBA" w:rsidRDefault="00000000" w:rsidP="00A03FBA">
            <w:pPr>
              <w:spacing w:after="0"/>
            </w:pPr>
            <w:hyperlink r:id="rId12" w:history="1">
              <w:r w:rsidR="00A03FBA">
                <w:rPr>
                  <w:rStyle w:val="Hyperlink"/>
                </w:rPr>
                <w:t>Cabinet Response - Furnished Tenancy Scheme.docx</w:t>
              </w:r>
            </w:hyperlink>
          </w:p>
          <w:p w14:paraId="24C2E022" w14:textId="66B5830B" w:rsidR="006B2DE1" w:rsidRPr="00C55247" w:rsidRDefault="006B2DE1" w:rsidP="6C523638">
            <w:pPr>
              <w:spacing w:after="0"/>
              <w:rPr>
                <w:color w:val="auto"/>
              </w:rPr>
            </w:pPr>
          </w:p>
        </w:tc>
      </w:tr>
      <w:tr w:rsidR="00E508A1" w:rsidRPr="003E4C33" w14:paraId="271E719F" w14:textId="77777777" w:rsidTr="3FB2368D">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07899015" w:rsidR="00E508A1" w:rsidRPr="00C55247" w:rsidRDefault="008F3969" w:rsidP="00E508A1">
            <w:pPr>
              <w:rPr>
                <w:rFonts w:cs="Arial"/>
                <w:color w:val="auto"/>
              </w:rPr>
            </w:pPr>
            <w:r>
              <w:rPr>
                <w:rStyle w:val="normaltextrun"/>
                <w:rFonts w:cs="Arial"/>
                <w:bdr w:val="none" w:sz="0" w:space="0" w:color="auto" w:frame="1"/>
              </w:rPr>
              <w:t>Councillor Linda Smith, Cabinet Member for Housing and Communities.</w:t>
            </w:r>
          </w:p>
        </w:tc>
      </w:tr>
      <w:tr w:rsidR="00E508A1" w:rsidRPr="003E4C33" w14:paraId="7239C84D" w14:textId="77777777" w:rsidTr="3FB2368D">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64E6B6A6" w:rsidR="00E508A1" w:rsidRPr="00C55247" w:rsidRDefault="008F3969" w:rsidP="00E508A1">
            <w:pPr>
              <w:rPr>
                <w:rFonts w:cs="Arial"/>
                <w:color w:val="auto"/>
              </w:rPr>
            </w:pPr>
            <w:r>
              <w:rPr>
                <w:rStyle w:val="normaltextrun"/>
                <w:rFonts w:cs="Arial"/>
                <w:shd w:val="clear" w:color="auto" w:fill="FFFFFF"/>
              </w:rPr>
              <w:t>Good, Affordable Homes, Thriving Communities. </w:t>
            </w:r>
            <w:r>
              <w:rPr>
                <w:rStyle w:val="eop"/>
                <w:rFonts w:cs="Arial"/>
                <w:shd w:val="clear" w:color="auto" w:fill="FFFFFF"/>
              </w:rPr>
              <w:t> </w:t>
            </w:r>
          </w:p>
        </w:tc>
      </w:tr>
      <w:tr w:rsidR="00E508A1" w:rsidRPr="003E4C33" w14:paraId="7C13F173" w14:textId="77777777" w:rsidTr="3FB2368D">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33FB7830" w:rsidR="00E508A1" w:rsidRPr="00C55247" w:rsidRDefault="008F3969" w:rsidP="00E508A1">
            <w:pPr>
              <w:rPr>
                <w:rFonts w:cs="Arial"/>
                <w:color w:val="auto"/>
              </w:rPr>
            </w:pPr>
            <w:r>
              <w:rPr>
                <w:rStyle w:val="normaltextrun"/>
                <w:rFonts w:cs="Arial"/>
              </w:rPr>
              <w:t>Housing, Homelessness and Rough Sleeping Strategy 2023-2028. </w:t>
            </w:r>
          </w:p>
        </w:tc>
      </w:tr>
    </w:tbl>
    <w:p w14:paraId="6393976F" w14:textId="77777777" w:rsidR="00166C4D" w:rsidRDefault="00166C4D" w:rsidP="004A6D2F">
      <w:pPr>
        <w:rPr>
          <w:rFonts w:cs="Arial"/>
        </w:rPr>
      </w:pPr>
    </w:p>
    <w:p w14:paraId="545F2E3E" w14:textId="77777777" w:rsidR="00287E6F" w:rsidRDefault="00287E6F" w:rsidP="004A6D2F">
      <w:pPr>
        <w:rPr>
          <w:rFonts w:cs="Arial"/>
        </w:rPr>
      </w:pPr>
    </w:p>
    <w:p w14:paraId="0090EA9D" w14:textId="77777777" w:rsidR="00287E6F" w:rsidRDefault="00287E6F" w:rsidP="004A6D2F">
      <w:pPr>
        <w:rPr>
          <w:rFonts w:cs="Arial"/>
        </w:rPr>
      </w:pPr>
    </w:p>
    <w:p w14:paraId="71DF2D28" w14:textId="77777777" w:rsidR="00287E6F" w:rsidRDefault="00287E6F" w:rsidP="004A6D2F">
      <w:pPr>
        <w:rPr>
          <w:rFonts w:cs="Arial"/>
        </w:rPr>
      </w:pPr>
    </w:p>
    <w:p w14:paraId="6C6ED47E" w14:textId="77777777" w:rsidR="00287E6F" w:rsidRDefault="00287E6F" w:rsidP="004A6D2F">
      <w:pPr>
        <w:rPr>
          <w:rFonts w:cs="Arial"/>
        </w:rPr>
      </w:pPr>
    </w:p>
    <w:p w14:paraId="22B46FDA" w14:textId="77777777" w:rsidR="00287E6F" w:rsidRDefault="00287E6F" w:rsidP="004A6D2F">
      <w:pPr>
        <w:rPr>
          <w:rFonts w:cs="Arial"/>
        </w:rPr>
      </w:pPr>
    </w:p>
    <w:p w14:paraId="08233BF9" w14:textId="77777777" w:rsidR="00287E6F" w:rsidRDefault="00287E6F" w:rsidP="004A6D2F">
      <w:pPr>
        <w:rPr>
          <w:rFonts w:cs="Arial"/>
        </w:rPr>
      </w:pPr>
    </w:p>
    <w:tbl>
      <w:tblPr>
        <w:tblW w:w="8845" w:type="dxa"/>
        <w:tblInd w:w="108" w:type="dxa"/>
        <w:tblBorders>
          <w:top w:val="single" w:sz="8" w:space="0" w:color="000000" w:themeColor="text1"/>
          <w:left w:val="single" w:sz="8" w:space="0" w:color="000000" w:themeColor="text1"/>
          <w:bottom w:val="single" w:sz="4" w:space="0" w:color="auto"/>
          <w:right w:val="single" w:sz="8" w:space="0" w:color="000000" w:themeColor="text1"/>
          <w:insideH w:val="single" w:sz="8" w:space="0" w:color="000000" w:themeColor="text1"/>
        </w:tblBorders>
        <w:tblLook w:val="04A0" w:firstRow="1" w:lastRow="0" w:firstColumn="1" w:lastColumn="0" w:noHBand="0" w:noVBand="1"/>
      </w:tblPr>
      <w:tblGrid>
        <w:gridCol w:w="417"/>
        <w:gridCol w:w="8428"/>
      </w:tblGrid>
      <w:tr w:rsidR="00340B77" w:rsidRPr="00975B07" w14:paraId="6AB9E16B" w14:textId="77777777" w:rsidTr="70B17490">
        <w:trPr>
          <w:trHeight w:val="300"/>
        </w:trPr>
        <w:tc>
          <w:tcPr>
            <w:tcW w:w="8845" w:type="dxa"/>
            <w:gridSpan w:val="2"/>
          </w:tcPr>
          <w:p w14:paraId="39BB8A6A" w14:textId="6D422E46" w:rsidR="00340B77" w:rsidRPr="00287E6F" w:rsidRDefault="219C66AC" w:rsidP="001728D2">
            <w:pPr>
              <w:rPr>
                <w:b/>
                <w:bCs/>
              </w:rPr>
            </w:pPr>
            <w:r w:rsidRPr="00287E6F">
              <w:rPr>
                <w:rFonts w:eastAsia="Arial" w:cs="Arial"/>
                <w:b/>
                <w:bCs/>
                <w:color w:val="000000" w:themeColor="text1"/>
              </w:rPr>
              <w:lastRenderedPageBreak/>
              <w:t>The Deputy Chief Executive – City and Citizens’ Services decides as follows:</w:t>
            </w:r>
          </w:p>
        </w:tc>
      </w:tr>
      <w:tr w:rsidR="00340B77" w:rsidRPr="00975B07" w14:paraId="1817F3CE" w14:textId="77777777" w:rsidTr="70B17490">
        <w:trPr>
          <w:trHeight w:val="300"/>
        </w:trPr>
        <w:tc>
          <w:tcPr>
            <w:tcW w:w="345" w:type="dxa"/>
          </w:tcPr>
          <w:p w14:paraId="7809A8B3" w14:textId="77777777" w:rsidR="00340B77" w:rsidRPr="00975B07" w:rsidRDefault="00340B77" w:rsidP="001728D2">
            <w:r w:rsidRPr="00975B07">
              <w:t>1.</w:t>
            </w:r>
          </w:p>
        </w:tc>
        <w:tc>
          <w:tcPr>
            <w:tcW w:w="8500" w:type="dxa"/>
          </w:tcPr>
          <w:p w14:paraId="2599CB46" w14:textId="23CD530B" w:rsidR="00340B77" w:rsidRPr="00896191" w:rsidRDefault="000275B0" w:rsidP="001728D2">
            <w:r>
              <w:t xml:space="preserve">Recommendation is to award </w:t>
            </w:r>
            <w:r w:rsidR="00A75BD6">
              <w:t xml:space="preserve">the contract </w:t>
            </w:r>
            <w:r w:rsidR="005B6594">
              <w:t xml:space="preserve">to </w:t>
            </w:r>
            <w:r w:rsidR="005B6594" w:rsidRPr="7A9B31AE">
              <w:rPr>
                <w:rStyle w:val="normaltextrun"/>
                <w:rFonts w:cs="Arial"/>
              </w:rPr>
              <w:t>Underley Furnishings Ltd (T/a ‘Furnished Homes’</w:t>
            </w:r>
            <w:r w:rsidR="008E27F9" w:rsidRPr="7A9B31AE">
              <w:rPr>
                <w:rStyle w:val="normaltextrun"/>
                <w:rFonts w:cs="Arial"/>
              </w:rPr>
              <w:t>)</w:t>
            </w:r>
            <w:r w:rsidR="00896191">
              <w:rPr>
                <w:rStyle w:val="normaltextrun"/>
                <w:rFonts w:cs="Arial"/>
              </w:rPr>
              <w:t xml:space="preserve">, </w:t>
            </w:r>
            <w:r w:rsidR="00896191" w:rsidRPr="41A8FC7A">
              <w:rPr>
                <w:rFonts w:eastAsia="Arial" w:cs="Arial"/>
                <w:color w:val="000000" w:themeColor="text1"/>
              </w:rPr>
              <w:t xml:space="preserve">the </w:t>
            </w:r>
            <w:r w:rsidR="00896191" w:rsidRPr="5889DBC9">
              <w:rPr>
                <w:rFonts w:eastAsia="Arial" w:cs="Arial"/>
                <w:color w:val="000000" w:themeColor="text1"/>
              </w:rPr>
              <w:t>highest scoring</w:t>
            </w:r>
            <w:r w:rsidR="00D80FE1">
              <w:rPr>
                <w:rFonts w:eastAsia="Arial" w:cs="Arial"/>
                <w:color w:val="000000" w:themeColor="text1"/>
              </w:rPr>
              <w:t xml:space="preserve"> </w:t>
            </w:r>
            <w:r w:rsidR="00D80FE1">
              <w:rPr>
                <w:rFonts w:eastAsia="Arial"/>
                <w:color w:val="000000" w:themeColor="text1"/>
              </w:rPr>
              <w:t>bidder</w:t>
            </w:r>
            <w:r w:rsidR="00896191" w:rsidRPr="4556F90C">
              <w:rPr>
                <w:rFonts w:eastAsia="Arial" w:cs="Arial"/>
                <w:color w:val="000000" w:themeColor="text1"/>
              </w:rPr>
              <w:t xml:space="preserve"> </w:t>
            </w:r>
            <w:r w:rsidR="00896191" w:rsidRPr="6888EFEE">
              <w:rPr>
                <w:rFonts w:eastAsia="Arial" w:cs="Arial"/>
                <w:color w:val="000000" w:themeColor="text1"/>
              </w:rPr>
              <w:t xml:space="preserve">following a </w:t>
            </w:r>
            <w:r w:rsidR="00896191" w:rsidRPr="4876A686">
              <w:rPr>
                <w:rFonts w:eastAsia="Arial" w:cs="Arial"/>
                <w:color w:val="000000" w:themeColor="text1"/>
              </w:rPr>
              <w:t xml:space="preserve">compliant </w:t>
            </w:r>
            <w:r w:rsidR="00896191" w:rsidRPr="704D49B2">
              <w:rPr>
                <w:rFonts w:eastAsia="Arial" w:cs="Arial"/>
                <w:color w:val="000000" w:themeColor="text1"/>
              </w:rPr>
              <w:t xml:space="preserve">procurement </w:t>
            </w:r>
            <w:r w:rsidR="00896191" w:rsidRPr="535BCC28">
              <w:rPr>
                <w:rFonts w:eastAsia="Arial" w:cs="Arial"/>
                <w:color w:val="000000" w:themeColor="text1"/>
              </w:rPr>
              <w:t>exercise</w:t>
            </w:r>
            <w:r w:rsidR="00896191">
              <w:rPr>
                <w:rFonts w:eastAsia="Arial" w:cs="Arial"/>
                <w:color w:val="000000" w:themeColor="text1"/>
              </w:rPr>
              <w:t>,</w:t>
            </w:r>
            <w:r w:rsidR="008E27F9" w:rsidRPr="7A9B31AE">
              <w:rPr>
                <w:rStyle w:val="normaltextrun"/>
                <w:rFonts w:cs="Arial"/>
              </w:rPr>
              <w:t xml:space="preserve"> for the Furnished Tenancy Scheme</w:t>
            </w:r>
            <w:r w:rsidR="00896191">
              <w:rPr>
                <w:rStyle w:val="normaltextrun"/>
                <w:rFonts w:cs="Arial"/>
              </w:rPr>
              <w:t>.</w:t>
            </w:r>
          </w:p>
        </w:tc>
      </w:tr>
    </w:tbl>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1728D2">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1728D2">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1728D2">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1728D2">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25F4B5F3" w:rsidR="006E1FA1" w:rsidRPr="00AD3849" w:rsidRDefault="00AD3849" w:rsidP="00AD3849">
            <w:pPr>
              <w:tabs>
                <w:tab w:val="left" w:pos="540"/>
                <w:tab w:val="left" w:pos="1440"/>
              </w:tabs>
              <w:rPr>
                <w:rFonts w:cs="Arial"/>
              </w:rPr>
            </w:pPr>
            <w:r w:rsidRPr="00AD3849">
              <w:rPr>
                <w:rFonts w:cs="Arial"/>
              </w:rPr>
              <w:t>Furnished Tenancy Budget</w:t>
            </w:r>
          </w:p>
        </w:tc>
        <w:tc>
          <w:tcPr>
            <w:tcW w:w="4455" w:type="dxa"/>
            <w:tcBorders>
              <w:top w:val="single" w:sz="4" w:space="0" w:color="auto"/>
              <w:left w:val="single" w:sz="4" w:space="0" w:color="auto"/>
              <w:bottom w:val="single" w:sz="4" w:space="0" w:color="auto"/>
              <w:right w:val="single" w:sz="4" w:space="0" w:color="auto"/>
            </w:tcBorders>
          </w:tcPr>
          <w:p w14:paraId="2B561EF1" w14:textId="6DE4F780" w:rsidR="006E1FA1" w:rsidRPr="00C55247" w:rsidRDefault="00AD3849" w:rsidP="004A39C3">
            <w:pPr>
              <w:ind w:left="426" w:hanging="426"/>
              <w:rPr>
                <w:color w:val="auto"/>
              </w:rPr>
            </w:pPr>
            <w:r>
              <w:rPr>
                <w:color w:val="auto"/>
              </w:rPr>
              <w:t>Yes</w:t>
            </w:r>
          </w:p>
          <w:p w14:paraId="26CB7083" w14:textId="18DBE48E" w:rsidR="004A39C3" w:rsidRPr="009E7289" w:rsidRDefault="004A39C3" w:rsidP="009E7289">
            <w:pPr>
              <w:ind w:left="426" w:hanging="426"/>
              <w:rPr>
                <w:rFonts w:cs="Arial"/>
                <w:color w:val="auto"/>
              </w:rPr>
            </w:pP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08D1F145" w:rsidR="006E1FA1" w:rsidRPr="00C55247" w:rsidRDefault="00AD3849" w:rsidP="0BC4DFF5">
            <w:pPr>
              <w:rPr>
                <w:rFonts w:cs="Arial"/>
                <w:color w:val="auto"/>
              </w:rPr>
            </w:pPr>
            <w:r>
              <w:rPr>
                <w:rFonts w:cs="Arial"/>
                <w:color w:val="auto"/>
              </w:rPr>
              <w:t>Risk Register</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77DF5A1A" w:rsidR="006E1FA1" w:rsidRPr="00C55247" w:rsidRDefault="00AD3849" w:rsidP="004A39C3">
            <w:pPr>
              <w:rPr>
                <w:rFonts w:cs="Arial"/>
                <w:color w:val="auto"/>
              </w:rPr>
            </w:pPr>
            <w:r>
              <w:rPr>
                <w:rFonts w:cs="Arial"/>
                <w:color w:val="auto"/>
              </w:rPr>
              <w:t>No</w:t>
            </w:r>
          </w:p>
        </w:tc>
      </w:tr>
    </w:tbl>
    <w:p w14:paraId="464A13D2" w14:textId="45FCB01A" w:rsidR="0040736F"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594D49C6" w14:textId="427E51CC" w:rsidR="00CF093A" w:rsidRDefault="00CF093A" w:rsidP="47687190">
      <w:pPr>
        <w:pStyle w:val="ListParagraph"/>
      </w:pPr>
      <w:r>
        <w:t>Oxford City Council has operated the Furnished Tenancy Scheme</w:t>
      </w:r>
      <w:r w:rsidR="0022182A">
        <w:t xml:space="preserve"> (“</w:t>
      </w:r>
      <w:r w:rsidR="0022182A" w:rsidRPr="3FB2368D">
        <w:rPr>
          <w:b/>
          <w:bCs/>
        </w:rPr>
        <w:t>FTS</w:t>
      </w:r>
      <w:r w:rsidR="0022182A">
        <w:t>”)</w:t>
      </w:r>
      <w:r>
        <w:t xml:space="preserve"> for over 26 years, offering furnished tenancies to new council tenants who have not previously held a social housing tenancy. The scheme is designed to support tenancy sustainability by removing the financial burden of furnishing a first home.</w:t>
      </w:r>
    </w:p>
    <w:p w14:paraId="6FF61651" w14:textId="4960DE8E" w:rsidR="00CF093A" w:rsidRDefault="00CF093A" w:rsidP="00A42567">
      <w:pPr>
        <w:pStyle w:val="ListParagraph"/>
        <w:numPr>
          <w:ilvl w:val="0"/>
          <w:numId w:val="20"/>
        </w:numPr>
      </w:pPr>
      <w:r>
        <w:t>The FTS provides essential household items such as:</w:t>
      </w:r>
    </w:p>
    <w:p w14:paraId="4EC32107" w14:textId="77777777" w:rsidR="00CF093A" w:rsidRDefault="00CF093A" w:rsidP="00A42567">
      <w:pPr>
        <w:pStyle w:val="ListParagraph"/>
        <w:numPr>
          <w:ilvl w:val="0"/>
          <w:numId w:val="21"/>
        </w:numPr>
      </w:pPr>
      <w:r>
        <w:t>Carpets</w:t>
      </w:r>
    </w:p>
    <w:p w14:paraId="2ED6F045" w14:textId="77777777" w:rsidR="00CF093A" w:rsidRDefault="00CF093A" w:rsidP="00A42567">
      <w:pPr>
        <w:pStyle w:val="ListParagraph"/>
        <w:numPr>
          <w:ilvl w:val="0"/>
          <w:numId w:val="21"/>
        </w:numPr>
      </w:pPr>
      <w:r>
        <w:t>Curtains</w:t>
      </w:r>
    </w:p>
    <w:p w14:paraId="06CC6208" w14:textId="77777777" w:rsidR="00CF093A" w:rsidRDefault="00CF093A" w:rsidP="00A42567">
      <w:pPr>
        <w:pStyle w:val="ListParagraph"/>
        <w:numPr>
          <w:ilvl w:val="0"/>
          <w:numId w:val="21"/>
        </w:numPr>
      </w:pPr>
      <w:r>
        <w:t>Cookers</w:t>
      </w:r>
    </w:p>
    <w:p w14:paraId="69D99403" w14:textId="77777777" w:rsidR="00CF093A" w:rsidRDefault="00CF093A" w:rsidP="00A42567">
      <w:pPr>
        <w:pStyle w:val="ListParagraph"/>
        <w:numPr>
          <w:ilvl w:val="0"/>
          <w:numId w:val="21"/>
        </w:numPr>
      </w:pPr>
      <w:r>
        <w:t>Beds</w:t>
      </w:r>
    </w:p>
    <w:p w14:paraId="1CE4DF1D" w14:textId="0C30C8AA" w:rsidR="00CF093A" w:rsidRDefault="00CF093A" w:rsidP="00A42567">
      <w:pPr>
        <w:pStyle w:val="ListParagraph"/>
        <w:numPr>
          <w:ilvl w:val="0"/>
          <w:numId w:val="20"/>
        </w:numPr>
      </w:pPr>
      <w:r>
        <w:t>It is particularly targeted at vulnerable tenants, including those affected by homelessness, domestic abuse, or other exceptional circumstances. The scheme operates on a cost-neutral basis, with tenants repaying the cost via a service charge eligible for Housing Benefit or Universal Credit.</w:t>
      </w:r>
    </w:p>
    <w:p w14:paraId="031D2397" w14:textId="468ED9CE" w:rsidR="00CF093A" w:rsidRDefault="00CF093A" w:rsidP="00A42567">
      <w:pPr>
        <w:pStyle w:val="ListParagraph"/>
        <w:numPr>
          <w:ilvl w:val="0"/>
          <w:numId w:val="20"/>
        </w:numPr>
      </w:pPr>
      <w:r>
        <w:t>The scheme plays a vital role in:</w:t>
      </w:r>
    </w:p>
    <w:p w14:paraId="0FEB142D" w14:textId="77777777" w:rsidR="00CF093A" w:rsidRDefault="00CF093A" w:rsidP="001C15FD">
      <w:pPr>
        <w:pStyle w:val="ListParagraph"/>
        <w:numPr>
          <w:ilvl w:val="0"/>
          <w:numId w:val="15"/>
        </w:numPr>
      </w:pPr>
      <w:r>
        <w:t>Reducing financial hardship</w:t>
      </w:r>
    </w:p>
    <w:p w14:paraId="4871BE4B" w14:textId="77777777" w:rsidR="00CF093A" w:rsidRDefault="00CF093A" w:rsidP="001C15FD">
      <w:pPr>
        <w:pStyle w:val="ListParagraph"/>
        <w:numPr>
          <w:ilvl w:val="0"/>
          <w:numId w:val="15"/>
        </w:numPr>
      </w:pPr>
      <w:r>
        <w:t>Supporting tenancy sustainment</w:t>
      </w:r>
    </w:p>
    <w:p w14:paraId="4E9E19B6" w14:textId="77777777" w:rsidR="00CF093A" w:rsidRDefault="00CF093A" w:rsidP="001C15FD">
      <w:pPr>
        <w:pStyle w:val="ListParagraph"/>
        <w:numPr>
          <w:ilvl w:val="0"/>
          <w:numId w:val="15"/>
        </w:numPr>
      </w:pPr>
      <w:r>
        <w:t>Preventing tenancy failure</w:t>
      </w:r>
    </w:p>
    <w:p w14:paraId="07008766" w14:textId="3E852B06" w:rsidR="00CF093A" w:rsidRDefault="00CF093A" w:rsidP="001C15FD">
      <w:pPr>
        <w:pStyle w:val="ListParagraph"/>
        <w:numPr>
          <w:ilvl w:val="0"/>
          <w:numId w:val="15"/>
        </w:numPr>
      </w:pPr>
      <w:r>
        <w:t>Minimising costs associated with voids, repeat homelessness, and property management</w:t>
      </w:r>
    </w:p>
    <w:p w14:paraId="3627F0D5" w14:textId="15D05C66" w:rsidR="00CF093A" w:rsidRDefault="00CF093A" w:rsidP="00A42567">
      <w:pPr>
        <w:pStyle w:val="ListParagraph"/>
        <w:numPr>
          <w:ilvl w:val="0"/>
          <w:numId w:val="20"/>
        </w:numPr>
      </w:pPr>
      <w:r>
        <w:t>Recent years have seen a significant increase in demand due to:</w:t>
      </w:r>
    </w:p>
    <w:p w14:paraId="354EE483" w14:textId="77777777" w:rsidR="00CF093A" w:rsidRDefault="00CF093A" w:rsidP="001C15FD">
      <w:pPr>
        <w:pStyle w:val="ListParagraph"/>
        <w:numPr>
          <w:ilvl w:val="0"/>
          <w:numId w:val="18"/>
        </w:numPr>
      </w:pPr>
      <w:r>
        <w:t>Growth in new housing supply</w:t>
      </w:r>
    </w:p>
    <w:p w14:paraId="2EA133DB" w14:textId="77777777" w:rsidR="00CF093A" w:rsidRDefault="00CF093A" w:rsidP="001C15FD">
      <w:pPr>
        <w:pStyle w:val="ListParagraph"/>
        <w:numPr>
          <w:ilvl w:val="0"/>
          <w:numId w:val="18"/>
        </w:numPr>
      </w:pPr>
      <w:r>
        <w:t>Cost-of-living pressures</w:t>
      </w:r>
    </w:p>
    <w:p w14:paraId="794F3039" w14:textId="77777777" w:rsidR="00CF093A" w:rsidRDefault="00CF093A" w:rsidP="001C15FD">
      <w:pPr>
        <w:pStyle w:val="ListParagraph"/>
        <w:numPr>
          <w:ilvl w:val="0"/>
          <w:numId w:val="18"/>
        </w:numPr>
      </w:pPr>
      <w:r>
        <w:t>Increased rehousing of homeless households</w:t>
      </w:r>
    </w:p>
    <w:p w14:paraId="17E4F960" w14:textId="4B0EC061" w:rsidR="00CF093A" w:rsidRDefault="00CF093A" w:rsidP="00A42567">
      <w:pPr>
        <w:pStyle w:val="ListParagraph"/>
        <w:numPr>
          <w:ilvl w:val="0"/>
          <w:numId w:val="20"/>
        </w:numPr>
      </w:pPr>
      <w:r>
        <w:t>This has led to full utilisation of the current contract’s financial capacity, prompting the need for expansion.</w:t>
      </w:r>
    </w:p>
    <w:p w14:paraId="59EEC654" w14:textId="77777777" w:rsidR="00A42567" w:rsidRDefault="00CF093A" w:rsidP="00A42567">
      <w:pPr>
        <w:pStyle w:val="ListParagraph"/>
        <w:numPr>
          <w:ilvl w:val="0"/>
          <w:numId w:val="20"/>
        </w:numPr>
      </w:pPr>
      <w:r>
        <w:lastRenderedPageBreak/>
        <w:t xml:space="preserve">To meet current and future service demands, the following additions </w:t>
      </w:r>
      <w:r w:rsidR="65CD2A46">
        <w:t>were</w:t>
      </w:r>
      <w:r>
        <w:t xml:space="preserve"> proposed:</w:t>
      </w:r>
    </w:p>
    <w:p w14:paraId="61721A10" w14:textId="77777777" w:rsidR="00A42567" w:rsidRPr="00A42567" w:rsidRDefault="00A42567" w:rsidP="00A42567">
      <w:pPr>
        <w:numPr>
          <w:ilvl w:val="0"/>
          <w:numId w:val="19"/>
        </w:numPr>
        <w:tabs>
          <w:tab w:val="left" w:pos="426"/>
        </w:tabs>
      </w:pPr>
      <w:r w:rsidRPr="00A42567">
        <w:t>Emergency Furnishings for Temporary Decants</w:t>
      </w:r>
    </w:p>
    <w:p w14:paraId="715ED145" w14:textId="77777777" w:rsidR="00A42567" w:rsidRPr="00A42567" w:rsidRDefault="00A42567" w:rsidP="00A42567">
      <w:pPr>
        <w:numPr>
          <w:ilvl w:val="0"/>
          <w:numId w:val="24"/>
        </w:numPr>
        <w:tabs>
          <w:tab w:val="left" w:pos="426"/>
        </w:tabs>
      </w:pPr>
      <w:r w:rsidRPr="00A42567">
        <w:t>Provision of furnishings for tenants temporarily relocated due to property repairs or refurbishment.</w:t>
      </w:r>
    </w:p>
    <w:p w14:paraId="5D8F2EC3" w14:textId="77777777" w:rsidR="00A42567" w:rsidRPr="00A42567" w:rsidRDefault="00A42567" w:rsidP="00A42567">
      <w:pPr>
        <w:numPr>
          <w:ilvl w:val="0"/>
          <w:numId w:val="19"/>
        </w:numPr>
        <w:tabs>
          <w:tab w:val="left" w:pos="426"/>
        </w:tabs>
      </w:pPr>
      <w:r w:rsidRPr="00A42567">
        <w:t>Emergency Furnishings for Temporary Accommodation</w:t>
      </w:r>
    </w:p>
    <w:p w14:paraId="5BEF9494" w14:textId="1218C916" w:rsidR="00A42567" w:rsidRDefault="00A42567" w:rsidP="00A42567">
      <w:pPr>
        <w:numPr>
          <w:ilvl w:val="0"/>
          <w:numId w:val="24"/>
        </w:numPr>
        <w:tabs>
          <w:tab w:val="left" w:pos="426"/>
        </w:tabs>
      </w:pPr>
      <w:r w:rsidRPr="00A42567">
        <w:t>Furnishing of properties used to house homeless households under the Council’s statutory housing duties.</w:t>
      </w:r>
    </w:p>
    <w:p w14:paraId="0C6C6B04" w14:textId="77777777" w:rsidR="00A42567" w:rsidRDefault="00CF093A" w:rsidP="00CF093A">
      <w:pPr>
        <w:pStyle w:val="ListParagraph"/>
        <w:numPr>
          <w:ilvl w:val="0"/>
          <w:numId w:val="20"/>
        </w:numPr>
      </w:pPr>
      <w:r>
        <w:t>These additions are essential to maintaining suitable living conditions during temporary housing arrangements and align with the Council’s commitment to tenant wellbeing and housing stability.</w:t>
      </w:r>
    </w:p>
    <w:p w14:paraId="72F8274E" w14:textId="39A4229C" w:rsidR="00CF093A" w:rsidRPr="00CF093A" w:rsidRDefault="00CF093A" w:rsidP="00CF093A">
      <w:pPr>
        <w:pStyle w:val="ListParagraph"/>
        <w:numPr>
          <w:ilvl w:val="0"/>
          <w:numId w:val="20"/>
        </w:numPr>
      </w:pPr>
      <w:r w:rsidRPr="00CF093A">
        <w:t>Appro</w:t>
      </w:r>
      <w:r w:rsidRPr="00A42567">
        <w:rPr>
          <w:color w:val="auto"/>
        </w:rPr>
        <w:t xml:space="preserve">val </w:t>
      </w:r>
      <w:r w:rsidR="003C59C7" w:rsidRPr="00A42567">
        <w:rPr>
          <w:color w:val="auto"/>
        </w:rPr>
        <w:t>was</w:t>
      </w:r>
      <w:r w:rsidRPr="00A42567">
        <w:rPr>
          <w:color w:val="auto"/>
        </w:rPr>
        <w:t xml:space="preserve"> sought to </w:t>
      </w:r>
      <w:r w:rsidRPr="00CF093A">
        <w:t>expand the scope of the Furnished Tenancy Scheme contract to include the two new service areas outlined above, ensuring continued support for vulnerable tenants and effective delivery of housing services.</w:t>
      </w:r>
    </w:p>
    <w:p w14:paraId="058F9060" w14:textId="77777777" w:rsidR="00633578" w:rsidRDefault="006B2DE1" w:rsidP="002B6836">
      <w:pPr>
        <w:pStyle w:val="Heading1"/>
        <w:rPr>
          <w:rFonts w:cs="Arial"/>
          <w:color w:val="auto"/>
        </w:rPr>
      </w:pPr>
      <w:r w:rsidRPr="00C55247">
        <w:rPr>
          <w:rFonts w:cs="Arial"/>
          <w:color w:val="auto"/>
        </w:rPr>
        <w:t xml:space="preserve">Reasons for the decision </w:t>
      </w:r>
    </w:p>
    <w:p w14:paraId="486EA1E1" w14:textId="084EA521" w:rsidR="004450BC" w:rsidRDefault="001838F7" w:rsidP="00A42567">
      <w:pPr>
        <w:pStyle w:val="ListParagraph"/>
        <w:numPr>
          <w:ilvl w:val="0"/>
          <w:numId w:val="20"/>
        </w:numPr>
      </w:pPr>
      <w:r>
        <w:t xml:space="preserve">The purpose of the decision is to </w:t>
      </w:r>
      <w:r w:rsidR="00BF0896">
        <w:t xml:space="preserve">award a new contract for the Furnished Tenancy Scheme. The </w:t>
      </w:r>
      <w:r w:rsidR="004450BC">
        <w:t>decision achieves the following benefits:</w:t>
      </w:r>
    </w:p>
    <w:p w14:paraId="218C80CE" w14:textId="77777777" w:rsidR="004450BC" w:rsidRDefault="004450BC" w:rsidP="004450BC">
      <w:pPr>
        <w:pStyle w:val="ListParagraph"/>
        <w:numPr>
          <w:ilvl w:val="0"/>
          <w:numId w:val="15"/>
        </w:numPr>
      </w:pPr>
      <w:r>
        <w:t>Reducing financial hardship</w:t>
      </w:r>
    </w:p>
    <w:p w14:paraId="2636287E" w14:textId="77777777" w:rsidR="004450BC" w:rsidRDefault="004450BC" w:rsidP="004450BC">
      <w:pPr>
        <w:pStyle w:val="ListParagraph"/>
        <w:numPr>
          <w:ilvl w:val="0"/>
          <w:numId w:val="15"/>
        </w:numPr>
      </w:pPr>
      <w:r>
        <w:t>Supporting tenancy sustainment</w:t>
      </w:r>
    </w:p>
    <w:p w14:paraId="06BC3275" w14:textId="77777777" w:rsidR="004450BC" w:rsidRDefault="004450BC" w:rsidP="004450BC">
      <w:pPr>
        <w:pStyle w:val="ListParagraph"/>
        <w:numPr>
          <w:ilvl w:val="0"/>
          <w:numId w:val="15"/>
        </w:numPr>
      </w:pPr>
      <w:r>
        <w:t>Preventing tenancy failure</w:t>
      </w:r>
    </w:p>
    <w:p w14:paraId="7CE86D52" w14:textId="77777777" w:rsidR="004450BC" w:rsidRDefault="004450BC" w:rsidP="004450BC">
      <w:pPr>
        <w:pStyle w:val="ListParagraph"/>
        <w:numPr>
          <w:ilvl w:val="0"/>
          <w:numId w:val="15"/>
        </w:numPr>
      </w:pPr>
      <w:r>
        <w:t>Minimising costs associated with voids, repeat homelessness, and property management</w:t>
      </w:r>
    </w:p>
    <w:p w14:paraId="6D3AD111" w14:textId="0076610E" w:rsidR="00EE3746" w:rsidRDefault="00607E3E" w:rsidP="00405D53">
      <w:pPr>
        <w:pStyle w:val="ListParagraph"/>
        <w:numPr>
          <w:ilvl w:val="0"/>
          <w:numId w:val="20"/>
        </w:numPr>
      </w:pPr>
      <w:r>
        <w:t xml:space="preserve">The risks if the decision is not made </w:t>
      </w:r>
      <w:r w:rsidR="002C2968">
        <w:t>are that the scheme will not be provided and</w:t>
      </w:r>
      <w:r w:rsidR="00FE14D0">
        <w:t xml:space="preserve"> there could be failed tenancies. </w:t>
      </w:r>
      <w:r w:rsidR="002C2968">
        <w:t xml:space="preserve"> </w:t>
      </w:r>
    </w:p>
    <w:p w14:paraId="5C3DA740" w14:textId="4BBFD9B1" w:rsidR="007B06BC" w:rsidRPr="00EE3746" w:rsidRDefault="00EE3746" w:rsidP="0000687F">
      <w:pPr>
        <w:spacing w:before="240"/>
        <w:rPr>
          <w:b/>
          <w:bCs/>
        </w:rPr>
      </w:pPr>
      <w:r w:rsidRPr="00EE3746">
        <w:rPr>
          <w:b/>
          <w:bCs/>
        </w:rPr>
        <w:t>Alternative Options Considered</w:t>
      </w:r>
    </w:p>
    <w:p w14:paraId="67D36D40" w14:textId="77777777" w:rsidR="00EE3746" w:rsidRDefault="00EE3746" w:rsidP="00EE3746">
      <w:pPr>
        <w:pStyle w:val="ListParagraph"/>
        <w:numPr>
          <w:ilvl w:val="0"/>
          <w:numId w:val="20"/>
        </w:numPr>
      </w:pPr>
      <w:r>
        <w:t xml:space="preserve"> </w:t>
      </w:r>
      <w:r w:rsidR="04284B87">
        <w:t>Other option</w:t>
      </w:r>
      <w:r w:rsidR="38BF9752">
        <w:t>s</w:t>
      </w:r>
      <w:r w:rsidR="04284B87">
        <w:t xml:space="preserve"> are</w:t>
      </w:r>
      <w:r>
        <w:t>:</w:t>
      </w:r>
    </w:p>
    <w:p w14:paraId="1A7572B1" w14:textId="3F72EA29" w:rsidR="007B06BC" w:rsidRPr="0096682D" w:rsidRDefault="00EE3746" w:rsidP="0096682D">
      <w:pPr>
        <w:pStyle w:val="ListParagraph"/>
        <w:numPr>
          <w:ilvl w:val="0"/>
          <w:numId w:val="29"/>
        </w:numPr>
        <w:ind w:left="1080"/>
        <w:rPr>
          <w:color w:val="000000" w:themeColor="text1"/>
        </w:rPr>
      </w:pPr>
      <w:r>
        <w:t>N</w:t>
      </w:r>
      <w:r w:rsidR="6934B784">
        <w:t>ot to award a</w:t>
      </w:r>
      <w:r w:rsidR="0096682D">
        <w:t xml:space="preserve"> new</w:t>
      </w:r>
      <w:r w:rsidR="6934B784">
        <w:t xml:space="preserve"> contract and to stop this service leav</w:t>
      </w:r>
      <w:r w:rsidR="1A6DF2E8">
        <w:t>ing</w:t>
      </w:r>
      <w:r w:rsidR="6934B784">
        <w:t xml:space="preserve"> tenants</w:t>
      </w:r>
      <w:r w:rsidR="58B4C290">
        <w:t xml:space="preserve"> to maintain and supply their own furnishings.</w:t>
      </w:r>
      <w:r w:rsidR="6934B784">
        <w:t xml:space="preserve"> </w:t>
      </w:r>
    </w:p>
    <w:p w14:paraId="4E6B19A7" w14:textId="4CF8CDBA" w:rsidR="00EE3746" w:rsidRDefault="00EE3746" w:rsidP="0096682D">
      <w:pPr>
        <w:pStyle w:val="ListParagraph"/>
        <w:ind w:left="1080"/>
        <w:rPr>
          <w:color w:val="000000" w:themeColor="text1"/>
        </w:rPr>
      </w:pPr>
      <w:r>
        <w:t>Extend the existing contract and run the risk of breaching the law.</w:t>
      </w:r>
    </w:p>
    <w:p w14:paraId="214A5D9D" w14:textId="2FF125C7" w:rsidR="00EE3746" w:rsidRPr="007B06BC" w:rsidRDefault="00EE3746" w:rsidP="0096682D">
      <w:pPr>
        <w:pStyle w:val="ListParagraph"/>
        <w:ind w:left="1080"/>
        <w:rPr>
          <w:color w:val="000000" w:themeColor="text1"/>
        </w:rPr>
      </w:pPr>
      <w:r>
        <w:t>Undertake a new procurement exercise.</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774B586C" w14:textId="7A7FEB7A" w:rsidR="009D3627" w:rsidRPr="00C55247" w:rsidRDefault="755E5DA7" w:rsidP="00A42567">
      <w:pPr>
        <w:pStyle w:val="ListParagraph"/>
        <w:numPr>
          <w:ilvl w:val="0"/>
          <w:numId w:val="20"/>
        </w:numPr>
        <w:rPr>
          <w:color w:val="auto"/>
        </w:rPr>
      </w:pPr>
      <w:r w:rsidRPr="6661516E">
        <w:rPr>
          <w:color w:val="auto"/>
        </w:rPr>
        <w:t xml:space="preserve">The original remit of the Furnished Tenancy programme, how this is delivered and the furnishings provided, does not need a new Equalities Impact assessment. The scheme is aligned to the Housing Homelessness and Rough Sleeping strategy and is covered therein.  </w:t>
      </w:r>
    </w:p>
    <w:p w14:paraId="19B3526B" w14:textId="606A1287" w:rsidR="009D3627" w:rsidRPr="00A42567" w:rsidRDefault="755E5DA7" w:rsidP="00A42567">
      <w:pPr>
        <w:pStyle w:val="ListParagraph"/>
        <w:numPr>
          <w:ilvl w:val="0"/>
          <w:numId w:val="20"/>
        </w:numPr>
        <w:rPr>
          <w:color w:val="000000" w:themeColor="text1"/>
        </w:rPr>
      </w:pPr>
      <w:r>
        <w:lastRenderedPageBreak/>
        <w:t>If the scheme is now to include emergency furnishings and temporary accommodation support, the individual characteristics of the tenants will need to be taken into review at the time of the referral.</w:t>
      </w:r>
    </w:p>
    <w:p w14:paraId="793F13CB" w14:textId="5FF59AF4" w:rsidR="00B33043" w:rsidRPr="0000687F" w:rsidRDefault="755E5DA7" w:rsidP="006F577F">
      <w:pPr>
        <w:pStyle w:val="ListParagraph"/>
        <w:numPr>
          <w:ilvl w:val="0"/>
          <w:numId w:val="20"/>
        </w:numPr>
        <w:rPr>
          <w:color w:val="000000" w:themeColor="text1"/>
        </w:rPr>
      </w:pPr>
      <w:r>
        <w:t xml:space="preserve">Any disability or protected characteristic of an applicant should be known at the outset. The confirmation their own needs have been considered should be included in the sign off/ authorisation paperwork to meet the Public Sector Equality Duties and Equality Act 2010. </w:t>
      </w:r>
    </w:p>
    <w:p w14:paraId="33C91F80" w14:textId="51B3C951" w:rsidR="006F577F" w:rsidRPr="006F577F" w:rsidRDefault="006F577F" w:rsidP="0000687F">
      <w:pPr>
        <w:spacing w:before="240"/>
        <w:rPr>
          <w:b/>
          <w:bCs/>
          <w:color w:val="000000" w:themeColor="text1"/>
        </w:rPr>
      </w:pPr>
      <w:r w:rsidRPr="006F577F">
        <w:rPr>
          <w:b/>
          <w:bCs/>
          <w:color w:val="000000" w:themeColor="text1"/>
        </w:rPr>
        <w:t>Risks</w:t>
      </w:r>
    </w:p>
    <w:p w14:paraId="5033608F" w14:textId="49E48994" w:rsidR="00B33043" w:rsidRPr="0000687F" w:rsidRDefault="2383C877" w:rsidP="0000687F">
      <w:pPr>
        <w:pStyle w:val="ListParagraph"/>
        <w:numPr>
          <w:ilvl w:val="0"/>
          <w:numId w:val="20"/>
        </w:numPr>
        <w:rPr>
          <w:color w:val="000000" w:themeColor="text1"/>
        </w:rPr>
      </w:pPr>
      <w:r w:rsidRPr="006F577F">
        <w:rPr>
          <w:rFonts w:eastAsia="Arial" w:cs="Arial"/>
          <w:color w:val="000000" w:themeColor="text1"/>
        </w:rPr>
        <w:t>See Risk Register Attached under Appendix 2.</w:t>
      </w:r>
    </w:p>
    <w:p w14:paraId="6A43684D" w14:textId="7FFAB65F" w:rsidR="00630829" w:rsidRPr="00C55247" w:rsidRDefault="00630829" w:rsidP="0000687F">
      <w:pPr>
        <w:pStyle w:val="bParagraphtext"/>
        <w:numPr>
          <w:ilvl w:val="0"/>
          <w:numId w:val="0"/>
        </w:numPr>
        <w:spacing w:before="240"/>
        <w:rPr>
          <w:color w:val="auto"/>
        </w:rPr>
      </w:pPr>
      <w:r w:rsidRPr="00C55247">
        <w:rPr>
          <w:b/>
          <w:color w:val="auto"/>
        </w:rPr>
        <w:t xml:space="preserve">Carbon and Environmental Considerations </w:t>
      </w:r>
    </w:p>
    <w:p w14:paraId="2454F4E3" w14:textId="5094B1A8" w:rsidR="00630829" w:rsidRDefault="003812BE" w:rsidP="00A42567">
      <w:pPr>
        <w:pStyle w:val="ListParagraph"/>
        <w:numPr>
          <w:ilvl w:val="0"/>
          <w:numId w:val="20"/>
        </w:numPr>
      </w:pPr>
      <w:r>
        <w:t xml:space="preserve">Successful </w:t>
      </w:r>
      <w:r w:rsidR="00EF16E0">
        <w:t>bidder</w:t>
      </w:r>
      <w:r>
        <w:t xml:space="preserve"> has </w:t>
      </w:r>
      <w:r w:rsidR="00F54E42">
        <w:t xml:space="preserve">provided assurances over </w:t>
      </w:r>
      <w:r w:rsidR="003C7DA0">
        <w:t xml:space="preserve">its </w:t>
      </w:r>
      <w:r w:rsidR="00EB442A">
        <w:t>net zero targets which meet OCC</w:t>
      </w:r>
      <w:r w:rsidR="00AB52C2">
        <w:t xml:space="preserve"> </w:t>
      </w:r>
      <w:r w:rsidR="00EB442A">
        <w:t xml:space="preserve">expectations. </w:t>
      </w:r>
    </w:p>
    <w:p w14:paraId="4282B049" w14:textId="08C55620" w:rsidR="00E87F7A" w:rsidRPr="003E4C33" w:rsidRDefault="6E34AA5C" w:rsidP="001A1BA1">
      <w:pPr>
        <w:pStyle w:val="Heading1"/>
        <w:rPr>
          <w:rFonts w:cs="Arial"/>
        </w:rPr>
      </w:pPr>
      <w:r w:rsidRPr="2A4FE5E6">
        <w:rPr>
          <w:rFonts w:cs="Arial"/>
        </w:rPr>
        <w:t>I</w:t>
      </w:r>
      <w:r w:rsidR="472AF781" w:rsidRPr="2A4FE5E6">
        <w:rPr>
          <w:rFonts w:cs="Arial"/>
        </w:rPr>
        <w:t xml:space="preserve">mplications </w:t>
      </w:r>
      <w:r w:rsidR="398B4A81" w:rsidRPr="2A4FE5E6">
        <w:rPr>
          <w:rFonts w:cs="Arial"/>
        </w:rPr>
        <w:t>of making the decision</w:t>
      </w:r>
      <w:r w:rsidR="472AF781" w:rsidRPr="2A4FE5E6">
        <w:rPr>
          <w:rFonts w:cs="Arial"/>
        </w:rPr>
        <w:t xml:space="preserve"> </w:t>
      </w:r>
    </w:p>
    <w:tbl>
      <w:tblPr>
        <w:tblStyle w:val="TableGrid"/>
        <w:tblW w:w="9307" w:type="dxa"/>
        <w:tblLook w:val="04A0" w:firstRow="1" w:lastRow="0" w:firstColumn="1" w:lastColumn="0" w:noHBand="0" w:noVBand="1"/>
      </w:tblPr>
      <w:tblGrid>
        <w:gridCol w:w="1883"/>
        <w:gridCol w:w="4379"/>
        <w:gridCol w:w="3045"/>
      </w:tblGrid>
      <w:tr w:rsidR="00372A82" w:rsidRPr="003E4C33" w14:paraId="44F594ED" w14:textId="77777777" w:rsidTr="0A1C546A">
        <w:trPr>
          <w:trHeight w:val="300"/>
        </w:trPr>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t>Financial implications</w:t>
            </w:r>
          </w:p>
        </w:tc>
        <w:tc>
          <w:tcPr>
            <w:tcW w:w="4379" w:type="dxa"/>
          </w:tcPr>
          <w:p w14:paraId="0696855A" w14:textId="40407326" w:rsidR="00372A82" w:rsidRPr="00C55247" w:rsidRDefault="5FB335AE" w:rsidP="00CB7A4F">
            <w:pPr>
              <w:rPr>
                <w:rFonts w:cs="Arial"/>
                <w:color w:val="auto"/>
              </w:rPr>
            </w:pPr>
            <w:r w:rsidRPr="2A4FE5E6">
              <w:rPr>
                <w:rFonts w:eastAsia="Arial" w:cs="Arial"/>
                <w:color w:val="000000" w:themeColor="text1"/>
              </w:rPr>
              <w:t>By establishing a fixed pricing schedule with the supplier, the council aims to achieve Value for Money and the contract will be monitored throughout the duration of the contract.</w:t>
            </w:r>
            <w:r w:rsidR="0B2036D8" w:rsidRPr="2A4FE5E6">
              <w:rPr>
                <w:rStyle w:val="bParagraphtextChar"/>
                <w:rFonts w:cs="Arial"/>
                <w:color w:val="auto"/>
              </w:rPr>
              <w:t xml:space="preserve"> </w:t>
            </w:r>
            <w:r w:rsidR="30DCBF99" w:rsidRPr="2A4FE5E6">
              <w:rPr>
                <w:rStyle w:val="bParagraphtextChar"/>
                <w:rFonts w:cs="Arial"/>
                <w:color w:val="auto"/>
              </w:rPr>
              <w:t>S</w:t>
            </w:r>
            <w:r w:rsidR="30DCBF99" w:rsidRPr="2A4FE5E6">
              <w:rPr>
                <w:rStyle w:val="bParagraphtextChar"/>
              </w:rPr>
              <w:t>ee</w:t>
            </w:r>
            <w:r w:rsidR="30AFE740" w:rsidRPr="2A4FE5E6">
              <w:rPr>
                <w:rStyle w:val="bParagraphtextChar"/>
              </w:rPr>
              <w:t xml:space="preserve"> Appendix </w:t>
            </w:r>
            <w:r w:rsidR="57FBD23D" w:rsidRPr="2A4FE5E6">
              <w:rPr>
                <w:rStyle w:val="bParagraphtextChar"/>
              </w:rPr>
              <w:t>1</w:t>
            </w:r>
          </w:p>
        </w:tc>
        <w:tc>
          <w:tcPr>
            <w:tcW w:w="3045"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60216F1E" w14:textId="31F541D1" w:rsidR="001A1BA1" w:rsidRPr="00C55247" w:rsidRDefault="00137C11" w:rsidP="00C076B9">
            <w:pPr>
              <w:pStyle w:val="Bulletpoints"/>
              <w:numPr>
                <w:ilvl w:val="0"/>
                <w:numId w:val="0"/>
              </w:numPr>
              <w:rPr>
                <w:rFonts w:cs="Arial"/>
                <w:color w:val="auto"/>
              </w:rPr>
            </w:pPr>
            <w:r>
              <w:rPr>
                <w:rFonts w:cs="Arial"/>
                <w:color w:val="auto"/>
              </w:rPr>
              <w:t>Jason Jones – Finance Business Partner</w:t>
            </w:r>
          </w:p>
          <w:p w14:paraId="7DB0BC85" w14:textId="514D4A87" w:rsidR="001A1BA1" w:rsidRPr="00C55247" w:rsidRDefault="001A1BA1" w:rsidP="0A1C546A">
            <w:pPr>
              <w:pStyle w:val="Bulletpoints"/>
              <w:numPr>
                <w:ilvl w:val="0"/>
                <w:numId w:val="0"/>
              </w:numPr>
              <w:rPr>
                <w:rFonts w:cs="Arial"/>
                <w:b/>
                <w:bCs/>
                <w:color w:val="auto"/>
              </w:rPr>
            </w:pPr>
            <w:r w:rsidRPr="0A1C546A">
              <w:rPr>
                <w:rFonts w:cs="Arial"/>
                <w:b/>
                <w:bCs/>
                <w:color w:val="auto"/>
              </w:rPr>
              <w:t>Date:</w:t>
            </w:r>
            <w:r w:rsidR="71C95304" w:rsidRPr="0A1C546A">
              <w:rPr>
                <w:rFonts w:cs="Arial"/>
                <w:b/>
                <w:bCs/>
                <w:color w:val="auto"/>
              </w:rPr>
              <w:t>11-09-2025</w:t>
            </w:r>
          </w:p>
          <w:p w14:paraId="003D265E" w14:textId="61AFA462" w:rsidR="001A1BA1" w:rsidRPr="00C55247" w:rsidRDefault="001A1BA1" w:rsidP="00C076B9">
            <w:pPr>
              <w:pStyle w:val="Bulletpoints"/>
              <w:numPr>
                <w:ilvl w:val="0"/>
                <w:numId w:val="0"/>
              </w:numPr>
              <w:rPr>
                <w:rFonts w:cs="Arial"/>
                <w:color w:val="auto"/>
              </w:rPr>
            </w:pPr>
          </w:p>
        </w:tc>
      </w:tr>
      <w:tr w:rsidR="00372A82" w:rsidRPr="003E4C33" w14:paraId="7D8DECFB" w14:textId="77777777" w:rsidTr="0A1C546A">
        <w:trPr>
          <w:trHeight w:val="300"/>
        </w:trPr>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1F99E662" w14:textId="77777777" w:rsidR="00C23011" w:rsidRDefault="003349F9" w:rsidP="00CB7A4F">
            <w:pPr>
              <w:rPr>
                <w:rFonts w:cs="Arial"/>
                <w:color w:val="auto"/>
              </w:rPr>
            </w:pPr>
            <w:r>
              <w:rPr>
                <w:rFonts w:cs="Arial"/>
                <w:color w:val="auto"/>
              </w:rPr>
              <w:t xml:space="preserve">The Council has undertaken a complaint procurement exercise </w:t>
            </w:r>
            <w:r w:rsidR="00561A4E">
              <w:rPr>
                <w:rFonts w:cs="Arial"/>
                <w:color w:val="auto"/>
              </w:rPr>
              <w:t xml:space="preserve">in accordance with the relevant Procurement legislation and </w:t>
            </w:r>
            <w:r w:rsidR="00C23011">
              <w:rPr>
                <w:rFonts w:cs="Arial"/>
                <w:color w:val="auto"/>
              </w:rPr>
              <w:t>the Constitution.</w:t>
            </w:r>
          </w:p>
          <w:p w14:paraId="18BCBA72" w14:textId="77777777" w:rsidR="00613822" w:rsidRDefault="00C23011" w:rsidP="00F80FC1">
            <w:pPr>
              <w:rPr>
                <w:rFonts w:cs="Arial"/>
                <w:color w:val="auto"/>
              </w:rPr>
            </w:pPr>
            <w:r>
              <w:rPr>
                <w:rFonts w:cs="Arial"/>
                <w:color w:val="auto"/>
              </w:rPr>
              <w:t>T</w:t>
            </w:r>
            <w:r w:rsidR="009704CF">
              <w:rPr>
                <w:rFonts w:cs="Arial"/>
                <w:color w:val="auto"/>
              </w:rPr>
              <w:t>he proposed decision is</w:t>
            </w:r>
            <w:r w:rsidR="000008CD">
              <w:rPr>
                <w:rFonts w:cs="Arial"/>
                <w:color w:val="auto"/>
              </w:rPr>
              <w:t xml:space="preserve"> a</w:t>
            </w:r>
            <w:r w:rsidR="009704CF">
              <w:rPr>
                <w:rFonts w:cs="Arial"/>
                <w:color w:val="auto"/>
              </w:rPr>
              <w:t xml:space="preserve"> Key Decision which </w:t>
            </w:r>
            <w:r w:rsidR="00F80FC1">
              <w:rPr>
                <w:rFonts w:cs="Arial"/>
                <w:color w:val="auto"/>
              </w:rPr>
              <w:t>means</w:t>
            </w:r>
            <w:r w:rsidR="00F80FC1">
              <w:t xml:space="preserve"> </w:t>
            </w:r>
            <w:r w:rsidR="00141797">
              <w:t>that in accordance with the Constitution</w:t>
            </w:r>
            <w:r w:rsidR="00F80FC1" w:rsidRPr="00F80FC1">
              <w:rPr>
                <w:rFonts w:cs="Arial"/>
                <w:color w:val="auto"/>
              </w:rPr>
              <w:t xml:space="preserve"> </w:t>
            </w:r>
            <w:r w:rsidR="008F3A7F">
              <w:rPr>
                <w:rFonts w:cs="Arial"/>
                <w:color w:val="auto"/>
              </w:rPr>
              <w:t xml:space="preserve">it </w:t>
            </w:r>
            <w:r w:rsidR="00F80FC1" w:rsidRPr="00F80FC1">
              <w:rPr>
                <w:rFonts w:cs="Arial"/>
                <w:color w:val="auto"/>
              </w:rPr>
              <w:t xml:space="preserve">must </w:t>
            </w:r>
            <w:r w:rsidR="00141797">
              <w:rPr>
                <w:rFonts w:cs="Arial"/>
                <w:color w:val="auto"/>
              </w:rPr>
              <w:t>be</w:t>
            </w:r>
            <w:r w:rsidR="00F80FC1" w:rsidRPr="00F80FC1">
              <w:rPr>
                <w:rFonts w:cs="Arial"/>
                <w:color w:val="auto"/>
              </w:rPr>
              <w:t xml:space="preserve"> entered on to the Forward Plan and published for a period of 28 days before the decision is taken</w:t>
            </w:r>
            <w:r w:rsidR="00141797">
              <w:rPr>
                <w:rFonts w:cs="Arial"/>
                <w:color w:val="auto"/>
              </w:rPr>
              <w:t>.</w:t>
            </w:r>
            <w:r w:rsidR="005F4AE1">
              <w:rPr>
                <w:rFonts w:cs="Arial"/>
                <w:color w:val="auto"/>
              </w:rPr>
              <w:t xml:space="preserve"> </w:t>
            </w:r>
          </w:p>
          <w:p w14:paraId="11BAD199" w14:textId="0C714201" w:rsidR="00372A82" w:rsidRPr="00C55247" w:rsidRDefault="006C3644" w:rsidP="003D3C47">
            <w:pPr>
              <w:rPr>
                <w:rFonts w:eastAsia="Arial" w:cs="Arial"/>
              </w:rPr>
            </w:pPr>
            <w:r>
              <w:rPr>
                <w:rFonts w:cs="Arial"/>
                <w:color w:val="auto"/>
              </w:rPr>
              <w:t>O</w:t>
            </w:r>
            <w:r w:rsidR="005F4AE1" w:rsidRPr="00A03FBA">
              <w:rPr>
                <w:rFonts w:cs="Arial"/>
                <w:color w:val="auto"/>
              </w:rPr>
              <w:t>n 13</w:t>
            </w:r>
            <w:r w:rsidR="005F4AE1" w:rsidRPr="00A03FBA">
              <w:rPr>
                <w:rFonts w:cs="Arial"/>
                <w:color w:val="auto"/>
                <w:vertAlign w:val="superscript"/>
              </w:rPr>
              <w:t>th</w:t>
            </w:r>
            <w:r w:rsidR="005F4AE1" w:rsidRPr="00A03FBA">
              <w:rPr>
                <w:rFonts w:cs="Arial"/>
                <w:color w:val="auto"/>
              </w:rPr>
              <w:t xml:space="preserve"> November 2024</w:t>
            </w:r>
            <w:r>
              <w:rPr>
                <w:rFonts w:cs="Arial"/>
                <w:color w:val="auto"/>
              </w:rPr>
              <w:t xml:space="preserve"> the Cabinet</w:t>
            </w:r>
            <w:r w:rsidR="005F4AE1" w:rsidRPr="00A03FBA">
              <w:rPr>
                <w:rFonts w:cs="Arial"/>
                <w:color w:val="auto"/>
              </w:rPr>
              <w:t xml:space="preserve"> delegated </w:t>
            </w:r>
            <w:r>
              <w:rPr>
                <w:rFonts w:cs="Arial"/>
                <w:color w:val="auto"/>
              </w:rPr>
              <w:t xml:space="preserve">the </w:t>
            </w:r>
            <w:r w:rsidR="005F4AE1" w:rsidRPr="00A03FBA">
              <w:rPr>
                <w:rFonts w:cs="Arial"/>
                <w:color w:val="auto"/>
              </w:rPr>
              <w:t>authority to the Interim Executive Director for Communities and People (Deputy Chief Executive</w:t>
            </w:r>
            <w:r w:rsidR="00613822">
              <w:rPr>
                <w:rFonts w:cs="Arial"/>
                <w:color w:val="auto"/>
              </w:rPr>
              <w:t xml:space="preserve"> being the successor</w:t>
            </w:r>
            <w:r w:rsidR="005F4AE1" w:rsidRPr="00A03FBA">
              <w:rPr>
                <w:rFonts w:cs="Arial"/>
                <w:color w:val="auto"/>
              </w:rPr>
              <w:t xml:space="preserve">) in consultation </w:t>
            </w:r>
            <w:r w:rsidR="005F4AE1">
              <w:rPr>
                <w:rFonts w:cs="Arial"/>
                <w:color w:val="auto"/>
              </w:rPr>
              <w:t>with the Section 151 Officer, authority to award a Furnished Tenancy Scheme contract</w:t>
            </w:r>
            <w:r w:rsidR="003D3C47">
              <w:rPr>
                <w:rFonts w:cs="Arial"/>
                <w:color w:val="auto"/>
              </w:rPr>
              <w:t>.</w:t>
            </w:r>
          </w:p>
        </w:tc>
        <w:tc>
          <w:tcPr>
            <w:tcW w:w="3045"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09AD926F" w14:textId="624F61B6" w:rsidR="001A1BA1" w:rsidRPr="00C55247" w:rsidRDefault="005A1755" w:rsidP="001A1BA1">
            <w:pPr>
              <w:pStyle w:val="Bulletpoints"/>
              <w:numPr>
                <w:ilvl w:val="0"/>
                <w:numId w:val="0"/>
              </w:numPr>
              <w:rPr>
                <w:rFonts w:cs="Arial"/>
                <w:color w:val="auto"/>
              </w:rPr>
            </w:pPr>
            <w:r>
              <w:rPr>
                <w:rFonts w:cs="Arial"/>
                <w:color w:val="auto"/>
              </w:rPr>
              <w:t xml:space="preserve">Justin Zizys </w:t>
            </w:r>
            <w:r w:rsidR="00F309B1">
              <w:rPr>
                <w:rFonts w:cs="Arial"/>
                <w:color w:val="auto"/>
              </w:rPr>
              <w:t>–</w:t>
            </w:r>
            <w:r>
              <w:rPr>
                <w:rFonts w:cs="Arial"/>
                <w:color w:val="auto"/>
              </w:rPr>
              <w:t xml:space="preserve"> </w:t>
            </w:r>
            <w:r w:rsidR="00F309B1">
              <w:rPr>
                <w:rFonts w:cs="Arial"/>
                <w:color w:val="auto"/>
              </w:rPr>
              <w:t>Contracts Lawyer</w:t>
            </w:r>
          </w:p>
          <w:p w14:paraId="62D75828" w14:textId="6B89B90C" w:rsidR="001A1BA1" w:rsidRPr="00C55247" w:rsidRDefault="001A1BA1" w:rsidP="001A1BA1">
            <w:pPr>
              <w:pStyle w:val="Bulletpoints"/>
              <w:numPr>
                <w:ilvl w:val="0"/>
                <w:numId w:val="0"/>
              </w:numPr>
              <w:rPr>
                <w:rFonts w:cs="Arial"/>
                <w:b/>
                <w:color w:val="auto"/>
              </w:rPr>
            </w:pPr>
            <w:r w:rsidRPr="00C55247">
              <w:rPr>
                <w:rFonts w:cs="Arial"/>
                <w:b/>
                <w:color w:val="auto"/>
              </w:rPr>
              <w:t>Date:</w:t>
            </w:r>
            <w:r w:rsidR="00930420">
              <w:rPr>
                <w:rFonts w:cs="Arial"/>
                <w:b/>
                <w:color w:val="auto"/>
              </w:rPr>
              <w:t xml:space="preserve"> 12 September 2025</w:t>
            </w:r>
          </w:p>
          <w:p w14:paraId="7A5DDA55" w14:textId="5F727F54" w:rsidR="00372A82" w:rsidRPr="00C55247" w:rsidRDefault="00372A82" w:rsidP="001A1BA1">
            <w:pPr>
              <w:pStyle w:val="Bulletpoints"/>
              <w:numPr>
                <w:ilvl w:val="0"/>
                <w:numId w:val="0"/>
              </w:numPr>
              <w:rPr>
                <w:rFonts w:cs="Arial"/>
                <w:color w:val="auto"/>
              </w:rPr>
            </w:pPr>
          </w:p>
        </w:tc>
      </w:tr>
      <w:tr w:rsidR="001A1BA1" w:rsidRPr="003E4C33" w14:paraId="6F38FEBF" w14:textId="77777777" w:rsidTr="0A1C546A">
        <w:trPr>
          <w:trHeight w:val="300"/>
        </w:trPr>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C2105E" w14:textId="15F34839" w:rsidR="00CB7A4F" w:rsidRPr="00C55247" w:rsidRDefault="1098DC57" w:rsidP="00372A82">
            <w:pPr>
              <w:pStyle w:val="bParagraphtext"/>
              <w:numPr>
                <w:ilvl w:val="0"/>
                <w:numId w:val="0"/>
              </w:numPr>
              <w:rPr>
                <w:rFonts w:cs="Arial"/>
                <w:color w:val="auto"/>
              </w:rPr>
            </w:pPr>
            <w:r w:rsidRPr="2A4FE5E6">
              <w:rPr>
                <w:rFonts w:eastAsia="Arial" w:cs="Arial"/>
              </w:rPr>
              <w:t>No other implications</w:t>
            </w:r>
          </w:p>
        </w:tc>
        <w:tc>
          <w:tcPr>
            <w:tcW w:w="3045" w:type="dxa"/>
          </w:tcPr>
          <w:p w14:paraId="4169DBDD" w14:textId="4A663D13" w:rsidR="001A1BA1" w:rsidRPr="00C55247" w:rsidRDefault="7A2C1293" w:rsidP="2A4FE5E6">
            <w:pPr>
              <w:pStyle w:val="Bulletpoints"/>
              <w:numPr>
                <w:ilvl w:val="0"/>
                <w:numId w:val="0"/>
              </w:numPr>
              <w:rPr>
                <w:rFonts w:eastAsia="Arial" w:cs="Arial"/>
                <w:b/>
                <w:bCs/>
                <w:color w:val="000000" w:themeColor="text1"/>
              </w:rPr>
            </w:pPr>
            <w:r w:rsidRPr="2A4FE5E6">
              <w:rPr>
                <w:rFonts w:eastAsia="Arial" w:cs="Arial"/>
                <w:b/>
                <w:bCs/>
                <w:color w:val="000000" w:themeColor="text1"/>
              </w:rPr>
              <w:t xml:space="preserve"> Completed by:</w:t>
            </w:r>
          </w:p>
          <w:p w14:paraId="55D57A7C" w14:textId="5DA0FD2C" w:rsidR="001A1BA1" w:rsidRPr="00C55247" w:rsidRDefault="7A2C1293">
            <w:pPr>
              <w:rPr>
                <w:rFonts w:eastAsia="Arial" w:cs="Arial"/>
                <w:color w:val="000000" w:themeColor="text1"/>
              </w:rPr>
            </w:pPr>
            <w:r w:rsidRPr="2A4FE5E6">
              <w:rPr>
                <w:rFonts w:eastAsia="Arial" w:cs="Arial"/>
                <w:color w:val="000000" w:themeColor="text1"/>
              </w:rPr>
              <w:lastRenderedPageBreak/>
              <w:t>Carolyn Devenney, Senior Furnished Tenancy Officer, Housing Services</w:t>
            </w:r>
          </w:p>
          <w:p w14:paraId="2ED277C5" w14:textId="5FBE0DE2" w:rsidR="001A1BA1" w:rsidRPr="00C55247" w:rsidRDefault="7A2C1293">
            <w:pPr>
              <w:rPr>
                <w:rFonts w:eastAsia="Arial" w:cs="Arial"/>
                <w:b/>
                <w:bCs/>
                <w:color w:val="000000" w:themeColor="text1"/>
              </w:rPr>
            </w:pPr>
            <w:r w:rsidRPr="2A4FE5E6">
              <w:rPr>
                <w:rFonts w:eastAsia="Arial" w:cs="Arial"/>
                <w:b/>
                <w:bCs/>
                <w:color w:val="000000" w:themeColor="text1"/>
              </w:rPr>
              <w:t>Date:</w:t>
            </w:r>
          </w:p>
          <w:p w14:paraId="68285B07" w14:textId="7257504A" w:rsidR="001A1BA1" w:rsidRPr="00C55247" w:rsidRDefault="7A2C1293" w:rsidP="7A9B31AE">
            <w:r w:rsidRPr="2A4FE5E6">
              <w:rPr>
                <w:rFonts w:eastAsia="Arial" w:cs="Arial"/>
              </w:rPr>
              <w:t>11/9/2025</w:t>
            </w:r>
          </w:p>
        </w:tc>
      </w:tr>
      <w:tr w:rsidR="007967CA" w:rsidRPr="003E4C33" w14:paraId="2C18B277" w14:textId="77777777" w:rsidTr="0A1C546A">
        <w:trPr>
          <w:trHeight w:val="300"/>
        </w:trPr>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lastRenderedPageBreak/>
              <w:t xml:space="preserve">Member declared interests </w:t>
            </w:r>
          </w:p>
        </w:tc>
        <w:tc>
          <w:tcPr>
            <w:tcW w:w="4379" w:type="dxa"/>
          </w:tcPr>
          <w:p w14:paraId="0033AA4D" w14:textId="7BF3CCA6" w:rsidR="007967CA" w:rsidRPr="00C55247" w:rsidRDefault="7C1D14D4" w:rsidP="00372A82">
            <w:pPr>
              <w:pStyle w:val="bParagraphtext"/>
              <w:numPr>
                <w:ilvl w:val="0"/>
                <w:numId w:val="0"/>
              </w:numPr>
              <w:rPr>
                <w:rFonts w:cs="Arial"/>
                <w:color w:val="auto"/>
              </w:rPr>
            </w:pPr>
            <w:r w:rsidRPr="2A4FE5E6">
              <w:rPr>
                <w:rFonts w:eastAsia="Arial" w:cs="Arial"/>
              </w:rPr>
              <w:t>No interests declared</w:t>
            </w:r>
          </w:p>
        </w:tc>
        <w:tc>
          <w:tcPr>
            <w:tcW w:w="3045" w:type="dxa"/>
          </w:tcPr>
          <w:p w14:paraId="2B2138BF" w14:textId="39763D9B" w:rsidR="007967CA" w:rsidRPr="00C55247" w:rsidRDefault="7C1D14D4">
            <w:pPr>
              <w:rPr>
                <w:rFonts w:eastAsia="Arial" w:cs="Arial"/>
                <w:b/>
                <w:bCs/>
                <w:color w:val="000000" w:themeColor="text1"/>
              </w:rPr>
            </w:pPr>
            <w:r w:rsidRPr="2A4FE5E6">
              <w:rPr>
                <w:rFonts w:eastAsia="Arial" w:cs="Arial"/>
                <w:b/>
                <w:bCs/>
                <w:color w:val="000000" w:themeColor="text1"/>
              </w:rPr>
              <w:t>Completed by:</w:t>
            </w:r>
          </w:p>
          <w:p w14:paraId="0931D877" w14:textId="13E6C797" w:rsidR="007967CA" w:rsidRPr="00C55247" w:rsidRDefault="7C1D14D4">
            <w:pPr>
              <w:rPr>
                <w:rFonts w:eastAsia="Arial" w:cs="Arial"/>
                <w:color w:val="000000" w:themeColor="text1"/>
              </w:rPr>
            </w:pPr>
            <w:r w:rsidRPr="2A4FE5E6">
              <w:rPr>
                <w:rFonts w:eastAsia="Arial" w:cs="Arial"/>
                <w:color w:val="000000" w:themeColor="text1"/>
              </w:rPr>
              <w:t>Carolyn Devenney, Senior Furnished Tenancy Officer, Housing Services</w:t>
            </w:r>
          </w:p>
          <w:p w14:paraId="28F84D57" w14:textId="4243F779" w:rsidR="007967CA" w:rsidRPr="00C55247" w:rsidRDefault="7C1D14D4">
            <w:pPr>
              <w:rPr>
                <w:rFonts w:eastAsia="Arial" w:cs="Arial"/>
                <w:b/>
                <w:bCs/>
                <w:color w:val="000000" w:themeColor="text1"/>
              </w:rPr>
            </w:pPr>
            <w:r w:rsidRPr="2A4FE5E6">
              <w:rPr>
                <w:rFonts w:eastAsia="Arial" w:cs="Arial"/>
                <w:b/>
                <w:bCs/>
                <w:color w:val="000000" w:themeColor="text1"/>
              </w:rPr>
              <w:t>Date:</w:t>
            </w:r>
          </w:p>
          <w:p w14:paraId="5918EBBE" w14:textId="30C0BF5A" w:rsidR="007967CA" w:rsidRPr="00C55247" w:rsidRDefault="7C1D14D4" w:rsidP="2A4FE5E6">
            <w:pPr>
              <w:rPr>
                <w:rFonts w:cs="Arial"/>
                <w:b/>
                <w:bCs/>
                <w:color w:val="auto"/>
              </w:rPr>
            </w:pPr>
            <w:r w:rsidRPr="2A4FE5E6">
              <w:rPr>
                <w:rFonts w:eastAsia="Arial" w:cs="Arial"/>
              </w:rPr>
              <w:t>11/9/2025</w:t>
            </w:r>
            <w:r>
              <w:t xml:space="preserve"> </w:t>
            </w:r>
          </w:p>
        </w:tc>
      </w:tr>
    </w:tbl>
    <w:p w14:paraId="7891D21B" w14:textId="78C294AB" w:rsidR="00FB3B71" w:rsidRPr="003E4C33" w:rsidRDefault="00FB3B71" w:rsidP="001728D2">
      <w:pPr>
        <w:pStyle w:val="bParagraphtext"/>
        <w:numPr>
          <w:ilvl w:val="0"/>
          <w:numId w:val="0"/>
        </w:numPr>
        <w:rPr>
          <w:rFonts w:cs="Arial"/>
          <w:b/>
        </w:rPr>
      </w:pPr>
    </w:p>
    <w:p w14:paraId="5BCE4DEB" w14:textId="02514305" w:rsidR="006C767F" w:rsidRPr="003E4C33" w:rsidRDefault="006C767F" w:rsidP="001728D2">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2A4FE5E6">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359272A3" w:rsidR="006C767F" w:rsidRPr="003E4C33" w:rsidRDefault="413EB6CB" w:rsidP="001728D2">
            <w:pPr>
              <w:jc w:val="center"/>
              <w:rPr>
                <w:rFonts w:cs="Arial"/>
              </w:rPr>
            </w:pPr>
            <w:r w:rsidRPr="2A4FE5E6">
              <w:rPr>
                <w:rStyle w:val="Firstpagetablebold"/>
                <w:rFonts w:cs="Arial"/>
              </w:rPr>
              <w:t xml:space="preserve">Background Documents </w:t>
            </w:r>
          </w:p>
        </w:tc>
      </w:tr>
      <w:tr w:rsidR="006C767F" w:rsidRPr="003E4C33" w14:paraId="269EBDEB" w14:textId="77777777" w:rsidTr="2A4FE5E6">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D4075" w14:textId="1F2C58C8" w:rsidR="006C767F" w:rsidRPr="003E4C33" w:rsidRDefault="10871053" w:rsidP="2A4FE5E6">
            <w:pPr>
              <w:rPr>
                <w:rFonts w:eastAsia="Arial" w:cs="Arial"/>
              </w:rPr>
            </w:pPr>
            <w:r w:rsidRPr="2A4FE5E6">
              <w:rPr>
                <w:rFonts w:eastAsia="Arial" w:cs="Arial"/>
                <w:color w:val="auto"/>
              </w:rPr>
              <w:t xml:space="preserve"> None</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tcPr>
          <w:p w14:paraId="10A18498" w14:textId="6AA61396" w:rsidR="00E87F7A" w:rsidRPr="003E4C33" w:rsidRDefault="00483E26" w:rsidP="00A46E98">
            <w:pPr>
              <w:rPr>
                <w:rFonts w:cs="Arial"/>
              </w:rPr>
            </w:pPr>
            <w:r>
              <w:rPr>
                <w:rFonts w:cs="Arial"/>
              </w:rPr>
              <w:t>Carolyn Devenney</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tcPr>
          <w:p w14:paraId="4290E9E4" w14:textId="6D88DE26" w:rsidR="00E87F7A" w:rsidRPr="00C55247" w:rsidRDefault="00483E26" w:rsidP="00A46E98">
            <w:pPr>
              <w:rPr>
                <w:rFonts w:cs="Arial"/>
                <w:color w:val="auto"/>
              </w:rPr>
            </w:pPr>
            <w:r>
              <w:rPr>
                <w:rFonts w:cs="Arial"/>
                <w:color w:val="auto"/>
              </w:rPr>
              <w:t>Senior Furnished Tenancy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tcPr>
          <w:p w14:paraId="64678455" w14:textId="48542B6D" w:rsidR="00E87F7A" w:rsidRPr="00C55247" w:rsidRDefault="00483E26" w:rsidP="00A46E98">
            <w:pPr>
              <w:rPr>
                <w:rFonts w:cs="Arial"/>
                <w:color w:val="auto"/>
              </w:rPr>
            </w:pPr>
            <w:r>
              <w:rPr>
                <w:rFonts w:cs="Arial"/>
                <w:color w:val="auto"/>
              </w:rPr>
              <w:t xml:space="preserve">Housing </w:t>
            </w:r>
            <w:r w:rsidR="00426D87">
              <w:rPr>
                <w:rFonts w:cs="Arial"/>
                <w:color w:val="auto"/>
              </w:rPr>
              <w:t>Needs</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tcPr>
          <w:p w14:paraId="217B4852" w14:textId="5402E526" w:rsidR="00E87F7A" w:rsidRPr="00C55247" w:rsidRDefault="00426D87" w:rsidP="00A46E98">
            <w:pPr>
              <w:rPr>
                <w:rStyle w:val="Hyperlink"/>
                <w:rFonts w:cs="Arial"/>
                <w:color w:val="auto"/>
              </w:rPr>
            </w:pPr>
            <w:r>
              <w:rPr>
                <w:rStyle w:val="Hyperlink"/>
                <w:rFonts w:cs="Arial"/>
                <w:color w:val="auto"/>
              </w:rPr>
              <w:t>c</w:t>
            </w:r>
            <w:r>
              <w:rPr>
                <w:rStyle w:val="Hyperlink"/>
              </w:rPr>
              <w:t>devenney@oxford.gov.uk</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64" w:type="dxa"/>
        <w:tblInd w:w="-5" w:type="dxa"/>
        <w:tblLook w:val="04A0" w:firstRow="1" w:lastRow="0" w:firstColumn="1" w:lastColumn="0" w:noHBand="0" w:noVBand="1"/>
      </w:tblPr>
      <w:tblGrid>
        <w:gridCol w:w="3080"/>
        <w:gridCol w:w="4457"/>
        <w:gridCol w:w="1527"/>
      </w:tblGrid>
      <w:tr w:rsidR="008B7A31" w:rsidRPr="003E4C33" w14:paraId="55292CC4" w14:textId="77777777" w:rsidTr="70B17490">
        <w:trPr>
          <w:trHeight w:val="300"/>
        </w:trPr>
        <w:tc>
          <w:tcPr>
            <w:tcW w:w="3116" w:type="dxa"/>
          </w:tcPr>
          <w:p w14:paraId="423E2C51" w14:textId="77777777" w:rsidR="001A1BA1" w:rsidRPr="003E4C33" w:rsidRDefault="001A1BA1" w:rsidP="001728D2">
            <w:pPr>
              <w:spacing w:before="120"/>
              <w:rPr>
                <w:b/>
                <w:i/>
              </w:rPr>
            </w:pPr>
            <w:r w:rsidRPr="003E4C33">
              <w:rPr>
                <w:b/>
                <w:i/>
              </w:rPr>
              <w:t>Consultees</w:t>
            </w:r>
          </w:p>
        </w:tc>
        <w:tc>
          <w:tcPr>
            <w:tcW w:w="4530" w:type="dxa"/>
            <w:vAlign w:val="center"/>
          </w:tcPr>
          <w:p w14:paraId="66370075" w14:textId="77777777" w:rsidR="001A1BA1" w:rsidRPr="003E4C33" w:rsidRDefault="001A1BA1" w:rsidP="001728D2">
            <w:pPr>
              <w:rPr>
                <w:b/>
                <w:i/>
              </w:rPr>
            </w:pPr>
            <w:r w:rsidRPr="003E4C33">
              <w:rPr>
                <w:b/>
                <w:i/>
              </w:rPr>
              <w:t>Name and job title</w:t>
            </w:r>
          </w:p>
        </w:tc>
        <w:tc>
          <w:tcPr>
            <w:tcW w:w="1530" w:type="dxa"/>
            <w:vAlign w:val="center"/>
          </w:tcPr>
          <w:p w14:paraId="67196AF5" w14:textId="77777777" w:rsidR="001A1BA1" w:rsidRPr="003E4C33" w:rsidRDefault="001A1BA1" w:rsidP="001728D2">
            <w:pPr>
              <w:rPr>
                <w:b/>
                <w:i/>
              </w:rPr>
            </w:pPr>
            <w:r w:rsidRPr="003E4C33">
              <w:rPr>
                <w:b/>
                <w:i/>
              </w:rPr>
              <w:t xml:space="preserve">Date </w:t>
            </w:r>
          </w:p>
        </w:tc>
      </w:tr>
      <w:tr w:rsidR="008B7A31" w:rsidRPr="003E4C33" w14:paraId="5F3F749A" w14:textId="77777777" w:rsidTr="70B17490">
        <w:trPr>
          <w:trHeight w:val="300"/>
        </w:trPr>
        <w:tc>
          <w:tcPr>
            <w:tcW w:w="3116" w:type="dxa"/>
            <w:vAlign w:val="center"/>
          </w:tcPr>
          <w:p w14:paraId="27A74D65" w14:textId="77777777" w:rsidR="000C099E" w:rsidRPr="003E4C33" w:rsidRDefault="000C099E" w:rsidP="000C099E">
            <w:pPr>
              <w:spacing w:before="120"/>
              <w:rPr>
                <w:b/>
              </w:rPr>
            </w:pPr>
            <w:r w:rsidRPr="003E4C33">
              <w:rPr>
                <w:b/>
              </w:rPr>
              <w:t>Senior officer</w:t>
            </w:r>
          </w:p>
          <w:p w14:paraId="5850EEA3" w14:textId="449855D8" w:rsidR="000C099E" w:rsidRPr="003E4C33" w:rsidRDefault="000C099E" w:rsidP="000C099E">
            <w:pPr>
              <w:spacing w:before="120"/>
            </w:pPr>
            <w:r>
              <w:t>e.g. the relevant service manager / Director where the decision maker is the Chief Executive or a Deputy Chief Executive.</w:t>
            </w:r>
          </w:p>
        </w:tc>
        <w:tc>
          <w:tcPr>
            <w:tcW w:w="4530" w:type="dxa"/>
            <w:vAlign w:val="center"/>
          </w:tcPr>
          <w:p w14:paraId="33DFBFFA" w14:textId="171FD6B4" w:rsidR="000C099E" w:rsidRPr="00C55247" w:rsidRDefault="00077CB9" w:rsidP="000C099E">
            <w:pPr>
              <w:rPr>
                <w:color w:val="A6A6A6" w:themeColor="background1" w:themeShade="A6"/>
              </w:rPr>
            </w:pPr>
            <w:r w:rsidRPr="00077CB9">
              <w:rPr>
                <w:color w:val="auto"/>
              </w:rPr>
              <w:t xml:space="preserve">Not applicable </w:t>
            </w:r>
          </w:p>
        </w:tc>
        <w:tc>
          <w:tcPr>
            <w:tcW w:w="1530" w:type="dxa"/>
            <w:vAlign w:val="center"/>
          </w:tcPr>
          <w:p w14:paraId="29D4AEB7" w14:textId="68304813" w:rsidR="000C099E" w:rsidRPr="003E4C33" w:rsidRDefault="000C099E" w:rsidP="000C099E"/>
        </w:tc>
      </w:tr>
      <w:tr w:rsidR="008B7A31" w:rsidRPr="003E4C33" w14:paraId="5B08396D" w14:textId="77777777" w:rsidTr="70B17490">
        <w:trPr>
          <w:trHeight w:val="300"/>
        </w:trPr>
        <w:tc>
          <w:tcPr>
            <w:tcW w:w="3116" w:type="dxa"/>
          </w:tcPr>
          <w:p w14:paraId="206914C9" w14:textId="56FA33D0" w:rsidR="000C099E" w:rsidRPr="003E4C33" w:rsidRDefault="000C099E" w:rsidP="000C099E">
            <w:pPr>
              <w:spacing w:before="120"/>
              <w:rPr>
                <w:b/>
              </w:rPr>
            </w:pPr>
            <w:r>
              <w:rPr>
                <w:b/>
              </w:rPr>
              <w:t>Group Finance Director</w:t>
            </w:r>
          </w:p>
          <w:p w14:paraId="7A4F1884" w14:textId="76E91C55" w:rsidR="000C099E" w:rsidRPr="003E4C33" w:rsidRDefault="000C099E" w:rsidP="000C099E">
            <w:pPr>
              <w:spacing w:before="120"/>
            </w:pPr>
            <w:r w:rsidRPr="003E4C33">
              <w:t>Where required by the Constitution or conditions of the delegation</w:t>
            </w:r>
          </w:p>
        </w:tc>
        <w:tc>
          <w:tcPr>
            <w:tcW w:w="4530" w:type="dxa"/>
            <w:vAlign w:val="center"/>
          </w:tcPr>
          <w:p w14:paraId="6975E903" w14:textId="0BB6E6AD" w:rsidR="00640B40" w:rsidRDefault="00640B40" w:rsidP="000C099E">
            <w:r w:rsidRPr="00EA6048">
              <w:rPr>
                <w:noProof/>
              </w:rPr>
              <w:drawing>
                <wp:inline distT="0" distB="0" distL="0" distR="0" wp14:anchorId="1CE60C49" wp14:editId="2C313C7F">
                  <wp:extent cx="838949" cy="638175"/>
                  <wp:effectExtent l="0" t="0" r="0" b="0"/>
                  <wp:docPr id="417915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0149" cy="639088"/>
                          </a:xfrm>
                          <a:prstGeom prst="rect">
                            <a:avLst/>
                          </a:prstGeom>
                          <a:noFill/>
                          <a:ln>
                            <a:noFill/>
                          </a:ln>
                        </pic:spPr>
                      </pic:pic>
                    </a:graphicData>
                  </a:graphic>
                </wp:inline>
              </w:drawing>
            </w:r>
          </w:p>
          <w:p w14:paraId="476C7451" w14:textId="74F4ABF6" w:rsidR="000C099E" w:rsidRPr="003E4C33" w:rsidRDefault="000C099E" w:rsidP="000C099E">
            <w:r>
              <w:t>Nigel Kennedy</w:t>
            </w:r>
          </w:p>
        </w:tc>
        <w:tc>
          <w:tcPr>
            <w:tcW w:w="1530" w:type="dxa"/>
            <w:vAlign w:val="center"/>
          </w:tcPr>
          <w:p w14:paraId="26B724B7" w14:textId="09304D18" w:rsidR="000C099E" w:rsidRPr="003E4C33" w:rsidRDefault="00640B40" w:rsidP="000C099E">
            <w:r>
              <w:t>16/10/2025</w:t>
            </w:r>
          </w:p>
        </w:tc>
      </w:tr>
      <w:tr w:rsidR="008B7A31" w:rsidRPr="003E4C33" w14:paraId="54CB0EFE" w14:textId="77777777" w:rsidTr="70B17490">
        <w:trPr>
          <w:trHeight w:val="300"/>
        </w:trPr>
        <w:tc>
          <w:tcPr>
            <w:tcW w:w="3116" w:type="dxa"/>
          </w:tcPr>
          <w:p w14:paraId="658FE63C" w14:textId="657649B8" w:rsidR="000C099E" w:rsidRPr="003E4C33" w:rsidRDefault="000C099E" w:rsidP="000C099E">
            <w:pPr>
              <w:spacing w:before="120"/>
              <w:rPr>
                <w:b/>
              </w:rPr>
            </w:pPr>
            <w:r>
              <w:rPr>
                <w:b/>
              </w:rPr>
              <w:lastRenderedPageBreak/>
              <w:t>Director of Law, Governance and Strategy</w:t>
            </w:r>
          </w:p>
          <w:p w14:paraId="5C806B41" w14:textId="50B1676F" w:rsidR="000C099E" w:rsidRPr="003E4C33" w:rsidRDefault="000C099E" w:rsidP="000C099E">
            <w:pPr>
              <w:spacing w:before="120"/>
            </w:pPr>
            <w:r w:rsidRPr="003E4C33">
              <w:t>Where required by the Constitution or conditions of the delegation</w:t>
            </w:r>
          </w:p>
        </w:tc>
        <w:tc>
          <w:tcPr>
            <w:tcW w:w="4530" w:type="dxa"/>
            <w:vAlign w:val="center"/>
          </w:tcPr>
          <w:p w14:paraId="459F8630" w14:textId="5DFF7376" w:rsidR="000C099E" w:rsidRPr="003E4C33" w:rsidRDefault="00077CB9" w:rsidP="000C099E">
            <w:r>
              <w:t>Not applicable</w:t>
            </w:r>
          </w:p>
        </w:tc>
        <w:tc>
          <w:tcPr>
            <w:tcW w:w="1530" w:type="dxa"/>
            <w:vAlign w:val="center"/>
          </w:tcPr>
          <w:p w14:paraId="13EBB6A8" w14:textId="253DE315" w:rsidR="000C099E" w:rsidRPr="003E4C33" w:rsidRDefault="000C099E" w:rsidP="000C099E"/>
        </w:tc>
      </w:tr>
      <w:tr w:rsidR="008B7A31" w:rsidRPr="003E4C33" w14:paraId="266E8AC6" w14:textId="77777777" w:rsidTr="70B17490">
        <w:trPr>
          <w:trHeight w:val="300"/>
        </w:trPr>
        <w:tc>
          <w:tcPr>
            <w:tcW w:w="3116" w:type="dxa"/>
            <w:vAlign w:val="center"/>
          </w:tcPr>
          <w:p w14:paraId="0D0AF673" w14:textId="77777777" w:rsidR="000C099E" w:rsidRPr="003E4C33" w:rsidRDefault="000C099E" w:rsidP="000C099E">
            <w:pPr>
              <w:spacing w:before="120"/>
              <w:rPr>
                <w:b/>
              </w:rPr>
            </w:pPr>
            <w:r w:rsidRPr="003E4C33">
              <w:rPr>
                <w:b/>
              </w:rPr>
              <w:t>Cabinet Member(s)</w:t>
            </w:r>
          </w:p>
          <w:p w14:paraId="789D5AE3" w14:textId="4A107205" w:rsidR="000C099E" w:rsidRPr="003E4C33" w:rsidRDefault="000C099E" w:rsidP="000C099E">
            <w:pPr>
              <w:spacing w:before="120"/>
            </w:pPr>
            <w:r w:rsidRPr="003E4C33">
              <w:t>Where required by the conditions of the delegation</w:t>
            </w:r>
          </w:p>
        </w:tc>
        <w:tc>
          <w:tcPr>
            <w:tcW w:w="4530" w:type="dxa"/>
            <w:vAlign w:val="center"/>
          </w:tcPr>
          <w:p w14:paraId="47B4B0BF" w14:textId="0E3084CD" w:rsidR="000C099E" w:rsidRPr="003E4C33" w:rsidRDefault="00077CB9" w:rsidP="000C099E">
            <w:r>
              <w:t xml:space="preserve">Not applicable </w:t>
            </w:r>
          </w:p>
        </w:tc>
        <w:tc>
          <w:tcPr>
            <w:tcW w:w="1530" w:type="dxa"/>
            <w:vAlign w:val="center"/>
          </w:tcPr>
          <w:p w14:paraId="79ED7A02" w14:textId="3B4DDE49" w:rsidR="000C099E" w:rsidRPr="003E4C33" w:rsidRDefault="000C099E" w:rsidP="000C099E"/>
        </w:tc>
      </w:tr>
      <w:tr w:rsidR="008B7A31" w:rsidRPr="003E4C33" w14:paraId="789A1406" w14:textId="77777777" w:rsidTr="70B17490">
        <w:trPr>
          <w:trHeight w:val="300"/>
        </w:trPr>
        <w:tc>
          <w:tcPr>
            <w:tcW w:w="3116" w:type="dxa"/>
            <w:vAlign w:val="center"/>
          </w:tcPr>
          <w:p w14:paraId="79CEA511" w14:textId="77777777" w:rsidR="000C099E" w:rsidRPr="003E4C33" w:rsidRDefault="000C099E" w:rsidP="000C099E">
            <w:pPr>
              <w:spacing w:before="120"/>
              <w:rPr>
                <w:b/>
              </w:rPr>
            </w:pPr>
            <w:r w:rsidRPr="003E4C33">
              <w:rPr>
                <w:b/>
              </w:rPr>
              <w:t>Ward Members</w:t>
            </w:r>
          </w:p>
          <w:p w14:paraId="079F86E6" w14:textId="03792320" w:rsidR="000C099E" w:rsidRPr="003E4C33" w:rsidRDefault="000C099E" w:rsidP="000C099E">
            <w:pPr>
              <w:spacing w:before="120"/>
            </w:pPr>
            <w:r w:rsidRPr="003E4C33">
              <w:t>Where required by the Constitution or conditions of the delegation</w:t>
            </w:r>
          </w:p>
        </w:tc>
        <w:tc>
          <w:tcPr>
            <w:tcW w:w="4530" w:type="dxa"/>
            <w:vAlign w:val="center"/>
          </w:tcPr>
          <w:p w14:paraId="0E06D3A4" w14:textId="55488176" w:rsidR="000C099E" w:rsidRPr="003E4C33" w:rsidRDefault="00077CB9" w:rsidP="000C099E">
            <w:r>
              <w:t xml:space="preserve">Not applicable </w:t>
            </w:r>
          </w:p>
        </w:tc>
        <w:tc>
          <w:tcPr>
            <w:tcW w:w="1530" w:type="dxa"/>
            <w:vAlign w:val="center"/>
          </w:tcPr>
          <w:p w14:paraId="36F1E2E4" w14:textId="77777777" w:rsidR="000C099E" w:rsidRPr="003E4C33" w:rsidRDefault="000C099E" w:rsidP="000C099E"/>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7428" w:type="dxa"/>
        <w:tblInd w:w="137" w:type="dxa"/>
        <w:tblLook w:val="04A0" w:firstRow="1" w:lastRow="0" w:firstColumn="1" w:lastColumn="0" w:noHBand="0" w:noVBand="1"/>
      </w:tblPr>
      <w:tblGrid>
        <w:gridCol w:w="5103"/>
        <w:gridCol w:w="2325"/>
      </w:tblGrid>
      <w:tr w:rsidR="0BC4DFF5" w:rsidRPr="003E4C33" w14:paraId="56628C58" w14:textId="77777777" w:rsidTr="2A4FE5E6">
        <w:trPr>
          <w:trHeight w:val="300"/>
        </w:trPr>
        <w:tc>
          <w:tcPr>
            <w:tcW w:w="5103" w:type="dxa"/>
            <w:vAlign w:val="center"/>
          </w:tcPr>
          <w:p w14:paraId="0E828CBD" w14:textId="77777777" w:rsidR="0BC4DFF5" w:rsidRPr="003E4C33" w:rsidRDefault="0BC4DFF5" w:rsidP="00B745AF">
            <w:pPr>
              <w:rPr>
                <w:b/>
                <w:bCs/>
                <w:i/>
                <w:iCs/>
              </w:rPr>
            </w:pPr>
            <w:r w:rsidRPr="003E4C33">
              <w:rPr>
                <w:b/>
                <w:bCs/>
                <w:i/>
                <w:iCs/>
              </w:rPr>
              <w:t>Name and job title</w:t>
            </w:r>
          </w:p>
        </w:tc>
        <w:tc>
          <w:tcPr>
            <w:tcW w:w="2325"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2A4FE5E6">
        <w:trPr>
          <w:trHeight w:val="300"/>
        </w:trPr>
        <w:tc>
          <w:tcPr>
            <w:tcW w:w="5103" w:type="dxa"/>
            <w:vAlign w:val="center"/>
          </w:tcPr>
          <w:p w14:paraId="7E02860D" w14:textId="77777777" w:rsidR="00B745AF" w:rsidRDefault="00B745AF" w:rsidP="00B745AF">
            <w:pPr>
              <w:spacing w:after="0"/>
              <w:rPr>
                <w:color w:val="auto"/>
              </w:rPr>
            </w:pPr>
          </w:p>
          <w:p w14:paraId="4C50E85C" w14:textId="1DD7E1EA" w:rsidR="00B745AF" w:rsidRDefault="00B745AF" w:rsidP="00B745AF">
            <w:pPr>
              <w:spacing w:after="0"/>
              <w:rPr>
                <w:color w:val="auto"/>
              </w:rPr>
            </w:pPr>
            <w:r w:rsidRPr="00B745AF">
              <w:rPr>
                <w:noProof/>
                <w:color w:val="auto"/>
              </w:rPr>
              <w:drawing>
                <wp:inline distT="0" distB="0" distL="0" distR="0" wp14:anchorId="6BD10244" wp14:editId="45F6D798">
                  <wp:extent cx="1365250" cy="479996"/>
                  <wp:effectExtent l="0" t="0" r="6350" b="0"/>
                  <wp:docPr id="384698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8985" cy="488341"/>
                          </a:xfrm>
                          <a:prstGeom prst="rect">
                            <a:avLst/>
                          </a:prstGeom>
                          <a:noFill/>
                          <a:ln>
                            <a:noFill/>
                          </a:ln>
                        </pic:spPr>
                      </pic:pic>
                    </a:graphicData>
                  </a:graphic>
                </wp:inline>
              </w:drawing>
            </w:r>
          </w:p>
          <w:p w14:paraId="39F241ED" w14:textId="77777777" w:rsidR="00B745AF" w:rsidRPr="00B745AF" w:rsidRDefault="00B745AF" w:rsidP="00B745AF">
            <w:pPr>
              <w:spacing w:after="0"/>
              <w:rPr>
                <w:color w:val="auto"/>
              </w:rPr>
            </w:pPr>
          </w:p>
          <w:p w14:paraId="249841EC" w14:textId="087479DD" w:rsidR="0BC4DFF5" w:rsidRPr="00C55247" w:rsidRDefault="00F32873">
            <w:r>
              <w:rPr>
                <w:color w:val="auto"/>
              </w:rPr>
              <w:t>Tom Hook – Deputy Chief Executive</w:t>
            </w:r>
          </w:p>
        </w:tc>
        <w:tc>
          <w:tcPr>
            <w:tcW w:w="2325" w:type="dxa"/>
            <w:vAlign w:val="center"/>
          </w:tcPr>
          <w:p w14:paraId="32E398AB" w14:textId="4B9FA12B" w:rsidR="00CB7A4F" w:rsidRPr="003E4C33" w:rsidRDefault="00B745AF">
            <w:r>
              <w:t>20/10/2025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call in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2"/>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C15FD">
      <w:pPr>
        <w:numPr>
          <w:ilvl w:val="0"/>
          <w:numId w:val="11"/>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C15FD">
      <w:pPr>
        <w:numPr>
          <w:ilvl w:val="0"/>
          <w:numId w:val="11"/>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1C15FD">
      <w:pPr>
        <w:pStyle w:val="dBulletpoints"/>
        <w:numPr>
          <w:ilvl w:val="1"/>
          <w:numId w:val="11"/>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1C15FD">
      <w:pPr>
        <w:pStyle w:val="dBulletpoints"/>
        <w:numPr>
          <w:ilvl w:val="1"/>
          <w:numId w:val="11"/>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1C15FD">
      <w:pPr>
        <w:pStyle w:val="dBulletpoints"/>
        <w:numPr>
          <w:ilvl w:val="1"/>
          <w:numId w:val="11"/>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1C15FD">
      <w:pPr>
        <w:pStyle w:val="dBulletpoints"/>
        <w:numPr>
          <w:ilvl w:val="1"/>
          <w:numId w:val="11"/>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1C15FD">
      <w:pPr>
        <w:pStyle w:val="dBulletpoints"/>
        <w:numPr>
          <w:ilvl w:val="1"/>
          <w:numId w:val="11"/>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C15FD">
      <w:pPr>
        <w:numPr>
          <w:ilvl w:val="0"/>
          <w:numId w:val="12"/>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C15FD">
      <w:pPr>
        <w:numPr>
          <w:ilvl w:val="0"/>
          <w:numId w:val="12"/>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1C15FD">
      <w:pPr>
        <w:pStyle w:val="dBulletpoints"/>
        <w:numPr>
          <w:ilvl w:val="1"/>
          <w:numId w:val="5"/>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1C15FD">
      <w:pPr>
        <w:pStyle w:val="dBulletpoints"/>
        <w:numPr>
          <w:ilvl w:val="1"/>
          <w:numId w:val="5"/>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1C15FD">
      <w:pPr>
        <w:pStyle w:val="dBulletpoints"/>
        <w:numPr>
          <w:ilvl w:val="1"/>
          <w:numId w:val="5"/>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1C15FD">
      <w:pPr>
        <w:pStyle w:val="dBulletpoints"/>
        <w:numPr>
          <w:ilvl w:val="1"/>
          <w:numId w:val="5"/>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Default="001A1BA1" w:rsidP="0093067A">
      <w:pPr>
        <w:rPr>
          <w:rFonts w:cs="Arial"/>
        </w:rPr>
      </w:pPr>
    </w:p>
    <w:p w14:paraId="1A7E6DDC" w14:textId="77777777" w:rsidR="00F700D1" w:rsidRDefault="00F700D1" w:rsidP="0093067A">
      <w:pPr>
        <w:rPr>
          <w:rFonts w:cs="Arial"/>
        </w:rPr>
      </w:pPr>
    </w:p>
    <w:p w14:paraId="3CC5A134" w14:textId="77777777" w:rsidR="00F700D1" w:rsidRDefault="00F700D1" w:rsidP="0093067A">
      <w:pPr>
        <w:rPr>
          <w:rFonts w:cs="Arial"/>
        </w:rPr>
      </w:pPr>
    </w:p>
    <w:p w14:paraId="411148B5" w14:textId="77777777" w:rsidR="00F700D1" w:rsidRDefault="00F700D1" w:rsidP="0093067A">
      <w:pPr>
        <w:rPr>
          <w:rFonts w:cs="Arial"/>
        </w:rPr>
      </w:pPr>
    </w:p>
    <w:p w14:paraId="78F3CEE7" w14:textId="77777777" w:rsidR="00F700D1" w:rsidRDefault="00F700D1" w:rsidP="0093067A">
      <w:pPr>
        <w:rPr>
          <w:rFonts w:cs="Arial"/>
        </w:rPr>
      </w:pPr>
    </w:p>
    <w:p w14:paraId="36688E98" w14:textId="77777777" w:rsidR="00F700D1" w:rsidRDefault="00F700D1" w:rsidP="0093067A">
      <w:pPr>
        <w:rPr>
          <w:rFonts w:cs="Arial"/>
        </w:rPr>
      </w:pPr>
    </w:p>
    <w:p w14:paraId="1B023590" w14:textId="77777777" w:rsidR="00F700D1" w:rsidRDefault="00F700D1" w:rsidP="0093067A">
      <w:pPr>
        <w:rPr>
          <w:rFonts w:cs="Arial"/>
        </w:rPr>
      </w:pPr>
    </w:p>
    <w:p w14:paraId="72CB2817" w14:textId="77777777" w:rsidR="00F700D1" w:rsidRDefault="00F700D1" w:rsidP="0093067A">
      <w:pPr>
        <w:rPr>
          <w:rFonts w:cs="Arial"/>
        </w:rPr>
      </w:pPr>
    </w:p>
    <w:p w14:paraId="533DDDDF" w14:textId="77777777" w:rsidR="00F700D1" w:rsidRDefault="00F700D1" w:rsidP="0093067A">
      <w:pPr>
        <w:rPr>
          <w:rFonts w:cs="Arial"/>
        </w:rPr>
      </w:pPr>
    </w:p>
    <w:p w14:paraId="14DF42D8" w14:textId="3D8C5119" w:rsidR="00F34408" w:rsidRPr="003E4C33" w:rsidRDefault="00F34408" w:rsidP="00F34408">
      <w:pPr>
        <w:rPr>
          <w:rFonts w:cs="Arial"/>
        </w:rPr>
      </w:pPr>
    </w:p>
    <w:p w14:paraId="21C91917" w14:textId="30231C03" w:rsidR="004777A7" w:rsidRPr="003E4C33" w:rsidRDefault="004777A7" w:rsidP="0093067A">
      <w:pPr>
        <w:rPr>
          <w:rFonts w:cs="Arial"/>
        </w:rPr>
      </w:pPr>
    </w:p>
    <w:sectPr w:rsidR="004777A7" w:rsidRPr="003E4C33" w:rsidSect="002B6836">
      <w:headerReference w:type="even" r:id="rId15"/>
      <w:headerReference w:type="default" r:id="rId16"/>
      <w:footerReference w:type="even" r:id="rId17"/>
      <w:footerReference w:type="default" r:id="rId18"/>
      <w:headerReference w:type="first" r:id="rId19"/>
      <w:footerReference w:type="first" r:id="rId20"/>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DDBF" w14:textId="77777777" w:rsidR="00C74408" w:rsidRDefault="00C74408" w:rsidP="004A6D2F">
      <w:r>
        <w:separator/>
      </w:r>
    </w:p>
  </w:endnote>
  <w:endnote w:type="continuationSeparator" w:id="0">
    <w:p w14:paraId="36B9A7AE" w14:textId="77777777" w:rsidR="00C74408" w:rsidRDefault="00C74408" w:rsidP="004A6D2F">
      <w:r>
        <w:continuationSeparator/>
      </w:r>
    </w:p>
  </w:endnote>
  <w:endnote w:type="continuationNotice" w:id="1">
    <w:p w14:paraId="5E70536A" w14:textId="77777777" w:rsidR="00C74408" w:rsidRDefault="00C74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700D" w14:textId="77777777" w:rsidR="00C74408" w:rsidRDefault="00C74408" w:rsidP="004A6D2F">
      <w:r>
        <w:separator/>
      </w:r>
    </w:p>
  </w:footnote>
  <w:footnote w:type="continuationSeparator" w:id="0">
    <w:p w14:paraId="574CB97C" w14:textId="77777777" w:rsidR="00C74408" w:rsidRDefault="00C74408" w:rsidP="004A6D2F">
      <w:r>
        <w:continuationSeparator/>
      </w:r>
    </w:p>
  </w:footnote>
  <w:footnote w:type="continuationNotice" w:id="1">
    <w:p w14:paraId="5801FEA7" w14:textId="77777777" w:rsidR="00C74408" w:rsidRDefault="00C74408">
      <w:pPr>
        <w:spacing w:after="0"/>
      </w:pPr>
    </w:p>
  </w:footnote>
  <w:footnote w:id="2">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01AAD2"/>
    <w:multiLevelType w:val="hybridMultilevel"/>
    <w:tmpl w:val="FFFFFFFF"/>
    <w:lvl w:ilvl="0" w:tplc="E21E3A7E">
      <w:start w:val="1"/>
      <w:numFmt w:val="decimal"/>
      <w:lvlText w:val="%1."/>
      <w:lvlJc w:val="left"/>
      <w:pPr>
        <w:ind w:left="720" w:hanging="360"/>
      </w:pPr>
    </w:lvl>
    <w:lvl w:ilvl="1" w:tplc="5A40D04E">
      <w:start w:val="1"/>
      <w:numFmt w:val="lowerLetter"/>
      <w:lvlText w:val="%2."/>
      <w:lvlJc w:val="left"/>
      <w:pPr>
        <w:ind w:left="1440" w:hanging="360"/>
      </w:pPr>
    </w:lvl>
    <w:lvl w:ilvl="2" w:tplc="E40AD71E">
      <w:start w:val="1"/>
      <w:numFmt w:val="lowerRoman"/>
      <w:lvlText w:val="%3."/>
      <w:lvlJc w:val="right"/>
      <w:pPr>
        <w:ind w:left="2160" w:hanging="180"/>
      </w:pPr>
    </w:lvl>
    <w:lvl w:ilvl="3" w:tplc="4D542084">
      <w:start w:val="1"/>
      <w:numFmt w:val="decimal"/>
      <w:lvlText w:val="%4."/>
      <w:lvlJc w:val="left"/>
      <w:pPr>
        <w:ind w:left="2880" w:hanging="360"/>
      </w:pPr>
    </w:lvl>
    <w:lvl w:ilvl="4" w:tplc="D00621E6">
      <w:start w:val="1"/>
      <w:numFmt w:val="lowerLetter"/>
      <w:lvlText w:val="%5."/>
      <w:lvlJc w:val="left"/>
      <w:pPr>
        <w:ind w:left="3600" w:hanging="360"/>
      </w:pPr>
    </w:lvl>
    <w:lvl w:ilvl="5" w:tplc="0108F0FC">
      <w:start w:val="1"/>
      <w:numFmt w:val="lowerRoman"/>
      <w:lvlText w:val="%6."/>
      <w:lvlJc w:val="right"/>
      <w:pPr>
        <w:ind w:left="4320" w:hanging="180"/>
      </w:pPr>
    </w:lvl>
    <w:lvl w:ilvl="6" w:tplc="9656E192">
      <w:start w:val="1"/>
      <w:numFmt w:val="decimal"/>
      <w:lvlText w:val="%7."/>
      <w:lvlJc w:val="left"/>
      <w:pPr>
        <w:ind w:left="5040" w:hanging="360"/>
      </w:pPr>
    </w:lvl>
    <w:lvl w:ilvl="7" w:tplc="25F0F200">
      <w:start w:val="1"/>
      <w:numFmt w:val="lowerLetter"/>
      <w:lvlText w:val="%8."/>
      <w:lvlJc w:val="left"/>
      <w:pPr>
        <w:ind w:left="5760" w:hanging="360"/>
      </w:pPr>
    </w:lvl>
    <w:lvl w:ilvl="8" w:tplc="7AF467B2">
      <w:start w:val="1"/>
      <w:numFmt w:val="lowerRoman"/>
      <w:lvlText w:val="%9."/>
      <w:lvlJc w:val="right"/>
      <w:pPr>
        <w:ind w:left="6480" w:hanging="180"/>
      </w:pPr>
    </w:lvl>
  </w:abstractNum>
  <w:abstractNum w:abstractNumId="3"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F4FEFF"/>
    <w:multiLevelType w:val="hybridMultilevel"/>
    <w:tmpl w:val="FFFFFFFF"/>
    <w:lvl w:ilvl="0" w:tplc="54605084">
      <w:start w:val="1"/>
      <w:numFmt w:val="decimal"/>
      <w:lvlText w:val="%1."/>
      <w:lvlJc w:val="left"/>
      <w:pPr>
        <w:ind w:left="720" w:hanging="360"/>
      </w:pPr>
    </w:lvl>
    <w:lvl w:ilvl="1" w:tplc="4288EAF8">
      <w:start w:val="1"/>
      <w:numFmt w:val="lowerLetter"/>
      <w:lvlText w:val="%2."/>
      <w:lvlJc w:val="left"/>
      <w:pPr>
        <w:ind w:left="1440" w:hanging="360"/>
      </w:pPr>
    </w:lvl>
    <w:lvl w:ilvl="2" w:tplc="C8FA928C">
      <w:start w:val="1"/>
      <w:numFmt w:val="lowerRoman"/>
      <w:lvlText w:val="%3."/>
      <w:lvlJc w:val="right"/>
      <w:pPr>
        <w:ind w:left="2160" w:hanging="180"/>
      </w:pPr>
    </w:lvl>
    <w:lvl w:ilvl="3" w:tplc="8A2AD786">
      <w:start w:val="1"/>
      <w:numFmt w:val="decimal"/>
      <w:lvlText w:val="%4."/>
      <w:lvlJc w:val="left"/>
      <w:pPr>
        <w:ind w:left="2880" w:hanging="360"/>
      </w:pPr>
    </w:lvl>
    <w:lvl w:ilvl="4" w:tplc="D302718E">
      <w:start w:val="1"/>
      <w:numFmt w:val="lowerLetter"/>
      <w:lvlText w:val="%5."/>
      <w:lvlJc w:val="left"/>
      <w:pPr>
        <w:ind w:left="3600" w:hanging="360"/>
      </w:pPr>
    </w:lvl>
    <w:lvl w:ilvl="5" w:tplc="C2FA7260">
      <w:start w:val="1"/>
      <w:numFmt w:val="lowerRoman"/>
      <w:lvlText w:val="%6."/>
      <w:lvlJc w:val="right"/>
      <w:pPr>
        <w:ind w:left="4320" w:hanging="180"/>
      </w:pPr>
    </w:lvl>
    <w:lvl w:ilvl="6" w:tplc="3C12D486">
      <w:start w:val="1"/>
      <w:numFmt w:val="decimal"/>
      <w:lvlText w:val="%7."/>
      <w:lvlJc w:val="left"/>
      <w:pPr>
        <w:ind w:left="5040" w:hanging="360"/>
      </w:pPr>
    </w:lvl>
    <w:lvl w:ilvl="7" w:tplc="D0F27540">
      <w:start w:val="1"/>
      <w:numFmt w:val="lowerLetter"/>
      <w:lvlText w:val="%8."/>
      <w:lvlJc w:val="left"/>
      <w:pPr>
        <w:ind w:left="5760" w:hanging="360"/>
      </w:pPr>
    </w:lvl>
    <w:lvl w:ilvl="8" w:tplc="760E76AC">
      <w:start w:val="1"/>
      <w:numFmt w:val="lowerRoman"/>
      <w:lvlText w:val="%9."/>
      <w:lvlJc w:val="right"/>
      <w:pPr>
        <w:ind w:left="6480" w:hanging="180"/>
      </w:pPr>
    </w:lvl>
  </w:abstractNum>
  <w:abstractNum w:abstractNumId="5" w15:restartNumberingAfterBreak="0">
    <w:nsid w:val="239B360A"/>
    <w:multiLevelType w:val="hybridMultilevel"/>
    <w:tmpl w:val="D7DA5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725F98"/>
    <w:multiLevelType w:val="hybridMultilevel"/>
    <w:tmpl w:val="389E7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6344A"/>
    <w:multiLevelType w:val="hybridMultilevel"/>
    <w:tmpl w:val="FFFFFFFF"/>
    <w:lvl w:ilvl="0" w:tplc="CE6CB656">
      <w:start w:val="1"/>
      <w:numFmt w:val="decimal"/>
      <w:lvlText w:val="%1."/>
      <w:lvlJc w:val="left"/>
      <w:pPr>
        <w:ind w:left="720" w:hanging="360"/>
      </w:pPr>
    </w:lvl>
    <w:lvl w:ilvl="1" w:tplc="91FE2D2C">
      <w:start w:val="1"/>
      <w:numFmt w:val="lowerLetter"/>
      <w:lvlText w:val="%2."/>
      <w:lvlJc w:val="left"/>
      <w:pPr>
        <w:ind w:left="1440" w:hanging="360"/>
      </w:pPr>
    </w:lvl>
    <w:lvl w:ilvl="2" w:tplc="4AAE7042">
      <w:start w:val="1"/>
      <w:numFmt w:val="lowerRoman"/>
      <w:lvlText w:val="%3."/>
      <w:lvlJc w:val="right"/>
      <w:pPr>
        <w:ind w:left="2160" w:hanging="180"/>
      </w:pPr>
    </w:lvl>
    <w:lvl w:ilvl="3" w:tplc="1ACC6B2E">
      <w:start w:val="1"/>
      <w:numFmt w:val="decimal"/>
      <w:lvlText w:val="%4."/>
      <w:lvlJc w:val="left"/>
      <w:pPr>
        <w:ind w:left="2880" w:hanging="360"/>
      </w:pPr>
    </w:lvl>
    <w:lvl w:ilvl="4" w:tplc="3F0E802A">
      <w:start w:val="1"/>
      <w:numFmt w:val="lowerLetter"/>
      <w:lvlText w:val="%5."/>
      <w:lvlJc w:val="left"/>
      <w:pPr>
        <w:ind w:left="3600" w:hanging="360"/>
      </w:pPr>
    </w:lvl>
    <w:lvl w:ilvl="5" w:tplc="737269C0">
      <w:start w:val="1"/>
      <w:numFmt w:val="lowerRoman"/>
      <w:lvlText w:val="%6."/>
      <w:lvlJc w:val="right"/>
      <w:pPr>
        <w:ind w:left="4320" w:hanging="180"/>
      </w:pPr>
    </w:lvl>
    <w:lvl w:ilvl="6" w:tplc="5F70BAA6">
      <w:start w:val="1"/>
      <w:numFmt w:val="decimal"/>
      <w:lvlText w:val="%7."/>
      <w:lvlJc w:val="left"/>
      <w:pPr>
        <w:ind w:left="5040" w:hanging="360"/>
      </w:pPr>
    </w:lvl>
    <w:lvl w:ilvl="7" w:tplc="F5E63AB6">
      <w:start w:val="1"/>
      <w:numFmt w:val="lowerLetter"/>
      <w:lvlText w:val="%8."/>
      <w:lvlJc w:val="left"/>
      <w:pPr>
        <w:ind w:left="5760" w:hanging="360"/>
      </w:pPr>
    </w:lvl>
    <w:lvl w:ilvl="8" w:tplc="C32025D2">
      <w:start w:val="1"/>
      <w:numFmt w:val="lowerRoman"/>
      <w:lvlText w:val="%9."/>
      <w:lvlJc w:val="right"/>
      <w:pPr>
        <w:ind w:left="6480" w:hanging="180"/>
      </w:pPr>
    </w:lvl>
  </w:abstractNum>
  <w:abstractNum w:abstractNumId="8" w15:restartNumberingAfterBreak="0">
    <w:nsid w:val="35182119"/>
    <w:multiLevelType w:val="hybridMultilevel"/>
    <w:tmpl w:val="01AA3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695A45"/>
    <w:multiLevelType w:val="hybridMultilevel"/>
    <w:tmpl w:val="4DA8A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B22A15"/>
    <w:multiLevelType w:val="hybridMultilevel"/>
    <w:tmpl w:val="C6E83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E87115"/>
    <w:multiLevelType w:val="hybridMultilevel"/>
    <w:tmpl w:val="7582605E"/>
    <w:lvl w:ilvl="0" w:tplc="6A84A068">
      <w:start w:val="1"/>
      <w:numFmt w:val="lowerLetter"/>
      <w:lvlText w:val="%1."/>
      <w:lvlJc w:val="left"/>
      <w:pPr>
        <w:ind w:left="720" w:hanging="360"/>
      </w:pPr>
    </w:lvl>
    <w:lvl w:ilvl="1" w:tplc="2B5AA54A">
      <w:start w:val="1"/>
      <w:numFmt w:val="lowerLetter"/>
      <w:lvlText w:val="%2."/>
      <w:lvlJc w:val="left"/>
      <w:pPr>
        <w:ind w:left="1440" w:hanging="360"/>
      </w:pPr>
    </w:lvl>
    <w:lvl w:ilvl="2" w:tplc="BA8ACA8A">
      <w:start w:val="1"/>
      <w:numFmt w:val="lowerRoman"/>
      <w:lvlText w:val="%3."/>
      <w:lvlJc w:val="right"/>
      <w:pPr>
        <w:ind w:left="2160" w:hanging="180"/>
      </w:pPr>
    </w:lvl>
    <w:lvl w:ilvl="3" w:tplc="83746A54">
      <w:start w:val="1"/>
      <w:numFmt w:val="decimal"/>
      <w:lvlText w:val="%4."/>
      <w:lvlJc w:val="left"/>
      <w:pPr>
        <w:ind w:left="2880" w:hanging="360"/>
      </w:pPr>
    </w:lvl>
    <w:lvl w:ilvl="4" w:tplc="88DE3720">
      <w:start w:val="1"/>
      <w:numFmt w:val="lowerLetter"/>
      <w:lvlText w:val="%5."/>
      <w:lvlJc w:val="left"/>
      <w:pPr>
        <w:ind w:left="3600" w:hanging="360"/>
      </w:pPr>
    </w:lvl>
    <w:lvl w:ilvl="5" w:tplc="3B883C40">
      <w:start w:val="1"/>
      <w:numFmt w:val="lowerRoman"/>
      <w:lvlText w:val="%6."/>
      <w:lvlJc w:val="right"/>
      <w:pPr>
        <w:ind w:left="4320" w:hanging="180"/>
      </w:pPr>
    </w:lvl>
    <w:lvl w:ilvl="6" w:tplc="E640E274">
      <w:start w:val="1"/>
      <w:numFmt w:val="decimal"/>
      <w:lvlText w:val="%7."/>
      <w:lvlJc w:val="left"/>
      <w:pPr>
        <w:ind w:left="5040" w:hanging="360"/>
      </w:pPr>
    </w:lvl>
    <w:lvl w:ilvl="7" w:tplc="105AB184">
      <w:start w:val="1"/>
      <w:numFmt w:val="lowerLetter"/>
      <w:lvlText w:val="%8."/>
      <w:lvlJc w:val="left"/>
      <w:pPr>
        <w:ind w:left="5760" w:hanging="360"/>
      </w:pPr>
    </w:lvl>
    <w:lvl w:ilvl="8" w:tplc="BC0484A0">
      <w:start w:val="1"/>
      <w:numFmt w:val="lowerRoman"/>
      <w:lvlText w:val="%9."/>
      <w:lvlJc w:val="right"/>
      <w:pPr>
        <w:ind w:left="6480" w:hanging="180"/>
      </w:pPr>
    </w:lvl>
  </w:abstractNum>
  <w:abstractNum w:abstractNumId="13" w15:restartNumberingAfterBreak="0">
    <w:nsid w:val="3E865895"/>
    <w:multiLevelType w:val="hybridMultilevel"/>
    <w:tmpl w:val="4BC406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38C13FC"/>
    <w:multiLevelType w:val="hybridMultilevel"/>
    <w:tmpl w:val="0B62F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063646"/>
    <w:multiLevelType w:val="hybridMultilevel"/>
    <w:tmpl w:val="9C863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E1510E"/>
    <w:multiLevelType w:val="hybridMultilevel"/>
    <w:tmpl w:val="872E7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53C86A99"/>
    <w:multiLevelType w:val="hybridMultilevel"/>
    <w:tmpl w:val="684492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6539BA"/>
    <w:multiLevelType w:val="hybridMultilevel"/>
    <w:tmpl w:val="730AC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E5F71A3"/>
    <w:multiLevelType w:val="hybridMultilevel"/>
    <w:tmpl w:val="FFFFFFFF"/>
    <w:lvl w:ilvl="0" w:tplc="3DD6BAA0">
      <w:start w:val="1"/>
      <w:numFmt w:val="decimal"/>
      <w:lvlText w:val="%1."/>
      <w:lvlJc w:val="left"/>
      <w:pPr>
        <w:ind w:left="720" w:hanging="360"/>
      </w:pPr>
    </w:lvl>
    <w:lvl w:ilvl="1" w:tplc="05F4B78A">
      <w:start w:val="1"/>
      <w:numFmt w:val="lowerLetter"/>
      <w:lvlText w:val="%2."/>
      <w:lvlJc w:val="left"/>
      <w:pPr>
        <w:ind w:left="1440" w:hanging="360"/>
      </w:pPr>
    </w:lvl>
    <w:lvl w:ilvl="2" w:tplc="AB7EA7C0">
      <w:start w:val="1"/>
      <w:numFmt w:val="lowerRoman"/>
      <w:lvlText w:val="%3."/>
      <w:lvlJc w:val="right"/>
      <w:pPr>
        <w:ind w:left="2160" w:hanging="180"/>
      </w:pPr>
    </w:lvl>
    <w:lvl w:ilvl="3" w:tplc="04B25C3E">
      <w:start w:val="1"/>
      <w:numFmt w:val="decimal"/>
      <w:lvlText w:val="%4."/>
      <w:lvlJc w:val="left"/>
      <w:pPr>
        <w:ind w:left="2880" w:hanging="360"/>
      </w:pPr>
    </w:lvl>
    <w:lvl w:ilvl="4" w:tplc="495CD936">
      <w:start w:val="1"/>
      <w:numFmt w:val="lowerLetter"/>
      <w:lvlText w:val="%5."/>
      <w:lvlJc w:val="left"/>
      <w:pPr>
        <w:ind w:left="3600" w:hanging="360"/>
      </w:pPr>
    </w:lvl>
    <w:lvl w:ilvl="5" w:tplc="8AE88450">
      <w:start w:val="1"/>
      <w:numFmt w:val="lowerRoman"/>
      <w:lvlText w:val="%6."/>
      <w:lvlJc w:val="right"/>
      <w:pPr>
        <w:ind w:left="4320" w:hanging="180"/>
      </w:pPr>
    </w:lvl>
    <w:lvl w:ilvl="6" w:tplc="92B0DBBE">
      <w:start w:val="1"/>
      <w:numFmt w:val="decimal"/>
      <w:lvlText w:val="%7."/>
      <w:lvlJc w:val="left"/>
      <w:pPr>
        <w:ind w:left="5040" w:hanging="360"/>
      </w:pPr>
    </w:lvl>
    <w:lvl w:ilvl="7" w:tplc="B2D2B306">
      <w:start w:val="1"/>
      <w:numFmt w:val="lowerLetter"/>
      <w:lvlText w:val="%8."/>
      <w:lvlJc w:val="left"/>
      <w:pPr>
        <w:ind w:left="5760" w:hanging="360"/>
      </w:pPr>
    </w:lvl>
    <w:lvl w:ilvl="8" w:tplc="83B42068">
      <w:start w:val="1"/>
      <w:numFmt w:val="lowerRoman"/>
      <w:lvlText w:val="%9."/>
      <w:lvlJc w:val="right"/>
      <w:pPr>
        <w:ind w:left="6480" w:hanging="180"/>
      </w:pPr>
    </w:lvl>
  </w:abstractNum>
  <w:abstractNum w:abstractNumId="24"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8365C6"/>
    <w:multiLevelType w:val="multilevel"/>
    <w:tmpl w:val="E67CE66C"/>
    <w:numStyleLink w:val="StyleNumberedLeft0cmHanging075cm"/>
  </w:abstractNum>
  <w:abstractNum w:abstractNumId="26"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282495281">
    <w:abstractNumId w:val="23"/>
  </w:num>
  <w:num w:numId="2" w16cid:durableId="729041152">
    <w:abstractNumId w:val="7"/>
  </w:num>
  <w:num w:numId="3" w16cid:durableId="1658343187">
    <w:abstractNumId w:val="4"/>
  </w:num>
  <w:num w:numId="4" w16cid:durableId="162017769">
    <w:abstractNumId w:val="2"/>
  </w:num>
  <w:num w:numId="5" w16cid:durableId="449398042">
    <w:abstractNumId w:val="20"/>
  </w:num>
  <w:num w:numId="6" w16cid:durableId="1594360626">
    <w:abstractNumId w:val="0"/>
  </w:num>
  <w:num w:numId="7" w16cid:durableId="806975598">
    <w:abstractNumId w:val="25"/>
  </w:num>
  <w:num w:numId="8" w16cid:durableId="1143692141">
    <w:abstractNumId w:val="3"/>
  </w:num>
  <w:num w:numId="9" w16cid:durableId="290284048">
    <w:abstractNumId w:val="1"/>
  </w:num>
  <w:num w:numId="10" w16cid:durableId="637807967">
    <w:abstractNumId w:val="21"/>
  </w:num>
  <w:num w:numId="11" w16cid:durableId="1819808808">
    <w:abstractNumId w:val="17"/>
  </w:num>
  <w:num w:numId="12" w16cid:durableId="840047793">
    <w:abstractNumId w:val="19"/>
  </w:num>
  <w:num w:numId="13" w16cid:durableId="1263950813">
    <w:abstractNumId w:val="24"/>
  </w:num>
  <w:num w:numId="14" w16cid:durableId="1311447890">
    <w:abstractNumId w:val="26"/>
  </w:num>
  <w:num w:numId="15" w16cid:durableId="1370304610">
    <w:abstractNumId w:val="22"/>
  </w:num>
  <w:num w:numId="16" w16cid:durableId="1152941978">
    <w:abstractNumId w:val="9"/>
  </w:num>
  <w:num w:numId="17" w16cid:durableId="502939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7724237">
    <w:abstractNumId w:val="11"/>
  </w:num>
  <w:num w:numId="19" w16cid:durableId="1369333771">
    <w:abstractNumId w:val="13"/>
  </w:num>
  <w:num w:numId="20" w16cid:durableId="799684362">
    <w:abstractNumId w:val="14"/>
  </w:num>
  <w:num w:numId="21" w16cid:durableId="2123105076">
    <w:abstractNumId w:val="5"/>
  </w:num>
  <w:num w:numId="22" w16cid:durableId="940797520">
    <w:abstractNumId w:val="18"/>
  </w:num>
  <w:num w:numId="23" w16cid:durableId="43726068">
    <w:abstractNumId w:val="6"/>
  </w:num>
  <w:num w:numId="24" w16cid:durableId="292831731">
    <w:abstractNumId w:val="10"/>
  </w:num>
  <w:num w:numId="25" w16cid:durableId="1898855656">
    <w:abstractNumId w:val="15"/>
  </w:num>
  <w:num w:numId="26" w16cid:durableId="933633287">
    <w:abstractNumId w:val="16"/>
  </w:num>
  <w:num w:numId="27" w16cid:durableId="536621934">
    <w:abstractNumId w:val="8"/>
  </w:num>
  <w:num w:numId="28" w16cid:durableId="353773151">
    <w:abstractNumId w:val="12"/>
  </w:num>
  <w:num w:numId="29" w16cid:durableId="1956011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08CD"/>
    <w:rsid w:val="000026A4"/>
    <w:rsid w:val="00005CE3"/>
    <w:rsid w:val="0000687F"/>
    <w:rsid w:val="000117D4"/>
    <w:rsid w:val="0001511A"/>
    <w:rsid w:val="0001661E"/>
    <w:rsid w:val="000275B0"/>
    <w:rsid w:val="0002790D"/>
    <w:rsid w:val="000313D8"/>
    <w:rsid w:val="000314D7"/>
    <w:rsid w:val="0003160A"/>
    <w:rsid w:val="00034054"/>
    <w:rsid w:val="000346DC"/>
    <w:rsid w:val="00045F8B"/>
    <w:rsid w:val="00046601"/>
    <w:rsid w:val="00046D2B"/>
    <w:rsid w:val="00047F05"/>
    <w:rsid w:val="00056263"/>
    <w:rsid w:val="000648C6"/>
    <w:rsid w:val="00064D8A"/>
    <w:rsid w:val="00064F82"/>
    <w:rsid w:val="00066510"/>
    <w:rsid w:val="0006753A"/>
    <w:rsid w:val="000705BE"/>
    <w:rsid w:val="0007237A"/>
    <w:rsid w:val="00073226"/>
    <w:rsid w:val="000772D0"/>
    <w:rsid w:val="00077523"/>
    <w:rsid w:val="000779E9"/>
    <w:rsid w:val="00077CB9"/>
    <w:rsid w:val="00084155"/>
    <w:rsid w:val="0008425C"/>
    <w:rsid w:val="00090DCC"/>
    <w:rsid w:val="00090E06"/>
    <w:rsid w:val="000911B5"/>
    <w:rsid w:val="0009761E"/>
    <w:rsid w:val="000B1DFC"/>
    <w:rsid w:val="000B3AED"/>
    <w:rsid w:val="000C089F"/>
    <w:rsid w:val="000C099E"/>
    <w:rsid w:val="000C19C4"/>
    <w:rsid w:val="000C260D"/>
    <w:rsid w:val="000C3928"/>
    <w:rsid w:val="000C46BC"/>
    <w:rsid w:val="000C51D6"/>
    <w:rsid w:val="000C5859"/>
    <w:rsid w:val="000C5BC6"/>
    <w:rsid w:val="000C5E8E"/>
    <w:rsid w:val="000E1B24"/>
    <w:rsid w:val="000F3878"/>
    <w:rsid w:val="000F4751"/>
    <w:rsid w:val="000F61C9"/>
    <w:rsid w:val="00104D61"/>
    <w:rsid w:val="0010524C"/>
    <w:rsid w:val="00111FB1"/>
    <w:rsid w:val="00112264"/>
    <w:rsid w:val="00113418"/>
    <w:rsid w:val="00113AAD"/>
    <w:rsid w:val="00117C1C"/>
    <w:rsid w:val="00124E5C"/>
    <w:rsid w:val="001356F1"/>
    <w:rsid w:val="00136994"/>
    <w:rsid w:val="00137C11"/>
    <w:rsid w:val="0014128E"/>
    <w:rsid w:val="00141797"/>
    <w:rsid w:val="00150711"/>
    <w:rsid w:val="00151888"/>
    <w:rsid w:val="001616B0"/>
    <w:rsid w:val="0016295B"/>
    <w:rsid w:val="00166C4D"/>
    <w:rsid w:val="00170A2D"/>
    <w:rsid w:val="001728D2"/>
    <w:rsid w:val="00175873"/>
    <w:rsid w:val="001808BC"/>
    <w:rsid w:val="00181312"/>
    <w:rsid w:val="00182B81"/>
    <w:rsid w:val="001838F7"/>
    <w:rsid w:val="0018619D"/>
    <w:rsid w:val="00196C90"/>
    <w:rsid w:val="001A011E"/>
    <w:rsid w:val="001A066A"/>
    <w:rsid w:val="001A13E6"/>
    <w:rsid w:val="001A1BA1"/>
    <w:rsid w:val="001A3914"/>
    <w:rsid w:val="001A5731"/>
    <w:rsid w:val="001B29F3"/>
    <w:rsid w:val="001B42C3"/>
    <w:rsid w:val="001C15FD"/>
    <w:rsid w:val="001C5D5E"/>
    <w:rsid w:val="001D5319"/>
    <w:rsid w:val="001D678D"/>
    <w:rsid w:val="001E03F8"/>
    <w:rsid w:val="001E1678"/>
    <w:rsid w:val="001E2B2E"/>
    <w:rsid w:val="001E3376"/>
    <w:rsid w:val="001E461E"/>
    <w:rsid w:val="001F7EE1"/>
    <w:rsid w:val="00204100"/>
    <w:rsid w:val="002069B3"/>
    <w:rsid w:val="00206AA0"/>
    <w:rsid w:val="00206E9F"/>
    <w:rsid w:val="0021279B"/>
    <w:rsid w:val="00214794"/>
    <w:rsid w:val="0022182A"/>
    <w:rsid w:val="00226897"/>
    <w:rsid w:val="00226F8A"/>
    <w:rsid w:val="00227FBA"/>
    <w:rsid w:val="002329CF"/>
    <w:rsid w:val="00232F5B"/>
    <w:rsid w:val="00241830"/>
    <w:rsid w:val="00241C95"/>
    <w:rsid w:val="0024658E"/>
    <w:rsid w:val="00247C29"/>
    <w:rsid w:val="002565E2"/>
    <w:rsid w:val="00256689"/>
    <w:rsid w:val="00257EAD"/>
    <w:rsid w:val="00260467"/>
    <w:rsid w:val="00263EA3"/>
    <w:rsid w:val="00273082"/>
    <w:rsid w:val="00273AE6"/>
    <w:rsid w:val="00284F85"/>
    <w:rsid w:val="00285191"/>
    <w:rsid w:val="002870C3"/>
    <w:rsid w:val="00287E6F"/>
    <w:rsid w:val="00290915"/>
    <w:rsid w:val="00290B34"/>
    <w:rsid w:val="002A22E2"/>
    <w:rsid w:val="002A58E5"/>
    <w:rsid w:val="002A74AF"/>
    <w:rsid w:val="002B13F5"/>
    <w:rsid w:val="002B171F"/>
    <w:rsid w:val="002B45D9"/>
    <w:rsid w:val="002B46A9"/>
    <w:rsid w:val="002B6836"/>
    <w:rsid w:val="002C2968"/>
    <w:rsid w:val="002C64F7"/>
    <w:rsid w:val="002C654E"/>
    <w:rsid w:val="002C7E30"/>
    <w:rsid w:val="002D1A41"/>
    <w:rsid w:val="002D3288"/>
    <w:rsid w:val="002F41F2"/>
    <w:rsid w:val="002F422E"/>
    <w:rsid w:val="002F6F06"/>
    <w:rsid w:val="002F71CC"/>
    <w:rsid w:val="00301BF3"/>
    <w:rsid w:val="0030208D"/>
    <w:rsid w:val="003208A8"/>
    <w:rsid w:val="00322BDC"/>
    <w:rsid w:val="00323418"/>
    <w:rsid w:val="003248E8"/>
    <w:rsid w:val="003273FD"/>
    <w:rsid w:val="003349F9"/>
    <w:rsid w:val="0033565F"/>
    <w:rsid w:val="003357BF"/>
    <w:rsid w:val="00340B77"/>
    <w:rsid w:val="00341293"/>
    <w:rsid w:val="0035422F"/>
    <w:rsid w:val="00354567"/>
    <w:rsid w:val="0036271D"/>
    <w:rsid w:val="00362CC5"/>
    <w:rsid w:val="00362D48"/>
    <w:rsid w:val="0036359D"/>
    <w:rsid w:val="00364FAD"/>
    <w:rsid w:val="003667FB"/>
    <w:rsid w:val="0036738F"/>
    <w:rsid w:val="0036759C"/>
    <w:rsid w:val="00367AE5"/>
    <w:rsid w:val="00367D71"/>
    <w:rsid w:val="00372A82"/>
    <w:rsid w:val="003812BE"/>
    <w:rsid w:val="0038150A"/>
    <w:rsid w:val="00393847"/>
    <w:rsid w:val="00393B7E"/>
    <w:rsid w:val="00397DF4"/>
    <w:rsid w:val="003A12A7"/>
    <w:rsid w:val="003B1521"/>
    <w:rsid w:val="003B6E75"/>
    <w:rsid w:val="003B7DA1"/>
    <w:rsid w:val="003C40E6"/>
    <w:rsid w:val="003C59C7"/>
    <w:rsid w:val="003C7DA0"/>
    <w:rsid w:val="003D0379"/>
    <w:rsid w:val="003D2574"/>
    <w:rsid w:val="003D2DB7"/>
    <w:rsid w:val="003D3C47"/>
    <w:rsid w:val="003D4C59"/>
    <w:rsid w:val="003D6FFA"/>
    <w:rsid w:val="003E4C33"/>
    <w:rsid w:val="003E5A67"/>
    <w:rsid w:val="003F1AD7"/>
    <w:rsid w:val="003F4267"/>
    <w:rsid w:val="0040278B"/>
    <w:rsid w:val="00404032"/>
    <w:rsid w:val="00405D53"/>
    <w:rsid w:val="0040736F"/>
    <w:rsid w:val="00412C1F"/>
    <w:rsid w:val="004152C3"/>
    <w:rsid w:val="00420C47"/>
    <w:rsid w:val="00421CB2"/>
    <w:rsid w:val="004268B9"/>
    <w:rsid w:val="00426D87"/>
    <w:rsid w:val="00433B96"/>
    <w:rsid w:val="0043772B"/>
    <w:rsid w:val="0043799B"/>
    <w:rsid w:val="00442C9D"/>
    <w:rsid w:val="004440F1"/>
    <w:rsid w:val="004450BC"/>
    <w:rsid w:val="004456DD"/>
    <w:rsid w:val="00446CDF"/>
    <w:rsid w:val="004521B7"/>
    <w:rsid w:val="004544F5"/>
    <w:rsid w:val="004548E0"/>
    <w:rsid w:val="00462AB5"/>
    <w:rsid w:val="00465EAF"/>
    <w:rsid w:val="004738C5"/>
    <w:rsid w:val="0047737B"/>
    <w:rsid w:val="004777A7"/>
    <w:rsid w:val="00483E26"/>
    <w:rsid w:val="00491046"/>
    <w:rsid w:val="00496078"/>
    <w:rsid w:val="004A2AC7"/>
    <w:rsid w:val="004A39C3"/>
    <w:rsid w:val="004A6D2F"/>
    <w:rsid w:val="004A7D46"/>
    <w:rsid w:val="004B11AE"/>
    <w:rsid w:val="004B5560"/>
    <w:rsid w:val="004B6F51"/>
    <w:rsid w:val="004B7A39"/>
    <w:rsid w:val="004C2887"/>
    <w:rsid w:val="004C3E23"/>
    <w:rsid w:val="004C55C2"/>
    <w:rsid w:val="004D2626"/>
    <w:rsid w:val="004D45F0"/>
    <w:rsid w:val="004D6E26"/>
    <w:rsid w:val="004D70D6"/>
    <w:rsid w:val="004D77D3"/>
    <w:rsid w:val="004E2959"/>
    <w:rsid w:val="004E356E"/>
    <w:rsid w:val="004F0755"/>
    <w:rsid w:val="004F20EF"/>
    <w:rsid w:val="004F554F"/>
    <w:rsid w:val="004F5E40"/>
    <w:rsid w:val="0050321C"/>
    <w:rsid w:val="00504A41"/>
    <w:rsid w:val="0050597C"/>
    <w:rsid w:val="00507ECC"/>
    <w:rsid w:val="00511325"/>
    <w:rsid w:val="00512370"/>
    <w:rsid w:val="00517FB9"/>
    <w:rsid w:val="00523261"/>
    <w:rsid w:val="00524638"/>
    <w:rsid w:val="00531E16"/>
    <w:rsid w:val="00532252"/>
    <w:rsid w:val="00534E27"/>
    <w:rsid w:val="0054362C"/>
    <w:rsid w:val="0054712D"/>
    <w:rsid w:val="00547EF6"/>
    <w:rsid w:val="0055056C"/>
    <w:rsid w:val="00551E13"/>
    <w:rsid w:val="005570B5"/>
    <w:rsid w:val="00560A98"/>
    <w:rsid w:val="00561A4E"/>
    <w:rsid w:val="00562FDC"/>
    <w:rsid w:val="00566DCF"/>
    <w:rsid w:val="00567E18"/>
    <w:rsid w:val="00575890"/>
    <w:rsid w:val="00575F5F"/>
    <w:rsid w:val="00576CD0"/>
    <w:rsid w:val="00581805"/>
    <w:rsid w:val="00585F76"/>
    <w:rsid w:val="005A1755"/>
    <w:rsid w:val="005A34E4"/>
    <w:rsid w:val="005A5BAC"/>
    <w:rsid w:val="005A6610"/>
    <w:rsid w:val="005B064B"/>
    <w:rsid w:val="005B17F2"/>
    <w:rsid w:val="005B2DDB"/>
    <w:rsid w:val="005B51D7"/>
    <w:rsid w:val="005B6594"/>
    <w:rsid w:val="005B7FB0"/>
    <w:rsid w:val="005C21BE"/>
    <w:rsid w:val="005C35A5"/>
    <w:rsid w:val="005C577C"/>
    <w:rsid w:val="005D0621"/>
    <w:rsid w:val="005D1E27"/>
    <w:rsid w:val="005D2A3E"/>
    <w:rsid w:val="005D2E00"/>
    <w:rsid w:val="005D4D80"/>
    <w:rsid w:val="005D537C"/>
    <w:rsid w:val="005E022E"/>
    <w:rsid w:val="005E2B45"/>
    <w:rsid w:val="005E5215"/>
    <w:rsid w:val="005E5AB3"/>
    <w:rsid w:val="005F4AE1"/>
    <w:rsid w:val="005F5D98"/>
    <w:rsid w:val="005F6A78"/>
    <w:rsid w:val="005F7871"/>
    <w:rsid w:val="005F7947"/>
    <w:rsid w:val="005F7F7E"/>
    <w:rsid w:val="00601B88"/>
    <w:rsid w:val="006037D4"/>
    <w:rsid w:val="00607E3E"/>
    <w:rsid w:val="00613272"/>
    <w:rsid w:val="00613822"/>
    <w:rsid w:val="00614693"/>
    <w:rsid w:val="006157D1"/>
    <w:rsid w:val="0061679F"/>
    <w:rsid w:val="00622741"/>
    <w:rsid w:val="00623C2F"/>
    <w:rsid w:val="0062720D"/>
    <w:rsid w:val="00630829"/>
    <w:rsid w:val="00633578"/>
    <w:rsid w:val="0063408C"/>
    <w:rsid w:val="00635E3E"/>
    <w:rsid w:val="00637068"/>
    <w:rsid w:val="00640B40"/>
    <w:rsid w:val="006419CA"/>
    <w:rsid w:val="00647434"/>
    <w:rsid w:val="00650811"/>
    <w:rsid w:val="00661D3E"/>
    <w:rsid w:val="0066569F"/>
    <w:rsid w:val="00665D91"/>
    <w:rsid w:val="00671CC5"/>
    <w:rsid w:val="006857DA"/>
    <w:rsid w:val="0068598E"/>
    <w:rsid w:val="00692360"/>
    <w:rsid w:val="00692627"/>
    <w:rsid w:val="00692D88"/>
    <w:rsid w:val="00693F00"/>
    <w:rsid w:val="006953E1"/>
    <w:rsid w:val="006969E7"/>
    <w:rsid w:val="006A14B1"/>
    <w:rsid w:val="006A3643"/>
    <w:rsid w:val="006A5F3E"/>
    <w:rsid w:val="006A7434"/>
    <w:rsid w:val="006B10C2"/>
    <w:rsid w:val="006B2DE1"/>
    <w:rsid w:val="006B53CC"/>
    <w:rsid w:val="006C10B6"/>
    <w:rsid w:val="006C2A29"/>
    <w:rsid w:val="006C3644"/>
    <w:rsid w:val="006C4EB8"/>
    <w:rsid w:val="006C64CF"/>
    <w:rsid w:val="006C767F"/>
    <w:rsid w:val="006C7D2E"/>
    <w:rsid w:val="006D04D5"/>
    <w:rsid w:val="006D08B3"/>
    <w:rsid w:val="006D17B1"/>
    <w:rsid w:val="006D309B"/>
    <w:rsid w:val="006D4752"/>
    <w:rsid w:val="006D5778"/>
    <w:rsid w:val="006D708A"/>
    <w:rsid w:val="006E057B"/>
    <w:rsid w:val="006E0EC3"/>
    <w:rsid w:val="006E14C1"/>
    <w:rsid w:val="006E1FA1"/>
    <w:rsid w:val="006E56F2"/>
    <w:rsid w:val="006E614E"/>
    <w:rsid w:val="006F0292"/>
    <w:rsid w:val="006F1BFD"/>
    <w:rsid w:val="006F27FA"/>
    <w:rsid w:val="006F416B"/>
    <w:rsid w:val="006F519B"/>
    <w:rsid w:val="006F577F"/>
    <w:rsid w:val="007013B6"/>
    <w:rsid w:val="00702597"/>
    <w:rsid w:val="00703AC8"/>
    <w:rsid w:val="00712A73"/>
    <w:rsid w:val="00713675"/>
    <w:rsid w:val="00715823"/>
    <w:rsid w:val="007253EF"/>
    <w:rsid w:val="00737B93"/>
    <w:rsid w:val="00740343"/>
    <w:rsid w:val="0074328F"/>
    <w:rsid w:val="00745BF0"/>
    <w:rsid w:val="00751EA3"/>
    <w:rsid w:val="0075222C"/>
    <w:rsid w:val="00755884"/>
    <w:rsid w:val="007615FE"/>
    <w:rsid w:val="0076331D"/>
    <w:rsid w:val="00764BAF"/>
    <w:rsid w:val="0076655C"/>
    <w:rsid w:val="00766847"/>
    <w:rsid w:val="007742DC"/>
    <w:rsid w:val="00777185"/>
    <w:rsid w:val="0078043D"/>
    <w:rsid w:val="007809C8"/>
    <w:rsid w:val="00791437"/>
    <w:rsid w:val="007967CA"/>
    <w:rsid w:val="007B06BC"/>
    <w:rsid w:val="007B0C2C"/>
    <w:rsid w:val="007B278E"/>
    <w:rsid w:val="007B5CA2"/>
    <w:rsid w:val="007C1F3D"/>
    <w:rsid w:val="007C2C6C"/>
    <w:rsid w:val="007C5C23"/>
    <w:rsid w:val="007D4715"/>
    <w:rsid w:val="007E0EE9"/>
    <w:rsid w:val="007E1EDE"/>
    <w:rsid w:val="007E2A26"/>
    <w:rsid w:val="007F2348"/>
    <w:rsid w:val="007F4757"/>
    <w:rsid w:val="00803F07"/>
    <w:rsid w:val="00804989"/>
    <w:rsid w:val="00804E4E"/>
    <w:rsid w:val="0080749A"/>
    <w:rsid w:val="008170F8"/>
    <w:rsid w:val="00821961"/>
    <w:rsid w:val="00821FB8"/>
    <w:rsid w:val="008221FF"/>
    <w:rsid w:val="008223D6"/>
    <w:rsid w:val="00822ACD"/>
    <w:rsid w:val="00823606"/>
    <w:rsid w:val="00826D43"/>
    <w:rsid w:val="00837ACD"/>
    <w:rsid w:val="00847044"/>
    <w:rsid w:val="00850A5A"/>
    <w:rsid w:val="00855C66"/>
    <w:rsid w:val="0086318D"/>
    <w:rsid w:val="00871EE4"/>
    <w:rsid w:val="00884492"/>
    <w:rsid w:val="008954DF"/>
    <w:rsid w:val="00896191"/>
    <w:rsid w:val="008A14CB"/>
    <w:rsid w:val="008A34D3"/>
    <w:rsid w:val="008B293F"/>
    <w:rsid w:val="008B4918"/>
    <w:rsid w:val="008B5D29"/>
    <w:rsid w:val="008B7371"/>
    <w:rsid w:val="008B7A31"/>
    <w:rsid w:val="008C3026"/>
    <w:rsid w:val="008C7570"/>
    <w:rsid w:val="008C7E12"/>
    <w:rsid w:val="008D21D3"/>
    <w:rsid w:val="008D2347"/>
    <w:rsid w:val="008D3DDB"/>
    <w:rsid w:val="008D5FE5"/>
    <w:rsid w:val="008E27F9"/>
    <w:rsid w:val="008E3172"/>
    <w:rsid w:val="008F1BB4"/>
    <w:rsid w:val="008F3969"/>
    <w:rsid w:val="008F3A7F"/>
    <w:rsid w:val="008F3B04"/>
    <w:rsid w:val="008F573F"/>
    <w:rsid w:val="008F7256"/>
    <w:rsid w:val="009034EC"/>
    <w:rsid w:val="0090559D"/>
    <w:rsid w:val="00907B2C"/>
    <w:rsid w:val="00930420"/>
    <w:rsid w:val="0093067A"/>
    <w:rsid w:val="00934B25"/>
    <w:rsid w:val="0093646B"/>
    <w:rsid w:val="0094180D"/>
    <w:rsid w:val="00941C60"/>
    <w:rsid w:val="00941FD1"/>
    <w:rsid w:val="0094443D"/>
    <w:rsid w:val="00957CFB"/>
    <w:rsid w:val="0096297B"/>
    <w:rsid w:val="0096682D"/>
    <w:rsid w:val="00966D42"/>
    <w:rsid w:val="009704CF"/>
    <w:rsid w:val="00971577"/>
    <w:rsid w:val="00971689"/>
    <w:rsid w:val="0097170F"/>
    <w:rsid w:val="00973E90"/>
    <w:rsid w:val="00975B07"/>
    <w:rsid w:val="00980B4A"/>
    <w:rsid w:val="009826BC"/>
    <w:rsid w:val="00985F16"/>
    <w:rsid w:val="0099164D"/>
    <w:rsid w:val="00993E15"/>
    <w:rsid w:val="00995201"/>
    <w:rsid w:val="009A0F26"/>
    <w:rsid w:val="009B3E8A"/>
    <w:rsid w:val="009B6ADE"/>
    <w:rsid w:val="009D3627"/>
    <w:rsid w:val="009D7080"/>
    <w:rsid w:val="009E3D0A"/>
    <w:rsid w:val="009E4A45"/>
    <w:rsid w:val="009E51FC"/>
    <w:rsid w:val="009E68E0"/>
    <w:rsid w:val="009E7289"/>
    <w:rsid w:val="009F1D28"/>
    <w:rsid w:val="009F6BC0"/>
    <w:rsid w:val="009F7618"/>
    <w:rsid w:val="009F775F"/>
    <w:rsid w:val="00A03FBA"/>
    <w:rsid w:val="00A04D23"/>
    <w:rsid w:val="00A06766"/>
    <w:rsid w:val="00A13765"/>
    <w:rsid w:val="00A21B12"/>
    <w:rsid w:val="00A23A60"/>
    <w:rsid w:val="00A23F80"/>
    <w:rsid w:val="00A2753D"/>
    <w:rsid w:val="00A350F1"/>
    <w:rsid w:val="00A417F8"/>
    <w:rsid w:val="00A42567"/>
    <w:rsid w:val="00A46E98"/>
    <w:rsid w:val="00A47468"/>
    <w:rsid w:val="00A552F8"/>
    <w:rsid w:val="00A6352B"/>
    <w:rsid w:val="00A701B5"/>
    <w:rsid w:val="00A714BB"/>
    <w:rsid w:val="00A75BD6"/>
    <w:rsid w:val="00A77147"/>
    <w:rsid w:val="00A824F2"/>
    <w:rsid w:val="00A92D8F"/>
    <w:rsid w:val="00AA5BC9"/>
    <w:rsid w:val="00AA5D68"/>
    <w:rsid w:val="00AA6208"/>
    <w:rsid w:val="00AB2988"/>
    <w:rsid w:val="00AB2A81"/>
    <w:rsid w:val="00AB3F66"/>
    <w:rsid w:val="00AB52C2"/>
    <w:rsid w:val="00AB7999"/>
    <w:rsid w:val="00AC76D9"/>
    <w:rsid w:val="00AC7B9F"/>
    <w:rsid w:val="00AD102E"/>
    <w:rsid w:val="00AD20AB"/>
    <w:rsid w:val="00AD3292"/>
    <w:rsid w:val="00AD3849"/>
    <w:rsid w:val="00AD781A"/>
    <w:rsid w:val="00AE1684"/>
    <w:rsid w:val="00AE262E"/>
    <w:rsid w:val="00AE476A"/>
    <w:rsid w:val="00AE7AF0"/>
    <w:rsid w:val="00B035A2"/>
    <w:rsid w:val="00B0373D"/>
    <w:rsid w:val="00B13A1E"/>
    <w:rsid w:val="00B14B77"/>
    <w:rsid w:val="00B25D99"/>
    <w:rsid w:val="00B277A5"/>
    <w:rsid w:val="00B305F7"/>
    <w:rsid w:val="00B33043"/>
    <w:rsid w:val="00B3339F"/>
    <w:rsid w:val="00B35BD0"/>
    <w:rsid w:val="00B500CA"/>
    <w:rsid w:val="00B52C57"/>
    <w:rsid w:val="00B53760"/>
    <w:rsid w:val="00B6369C"/>
    <w:rsid w:val="00B649D0"/>
    <w:rsid w:val="00B745AF"/>
    <w:rsid w:val="00B756F2"/>
    <w:rsid w:val="00B77691"/>
    <w:rsid w:val="00B82961"/>
    <w:rsid w:val="00B86314"/>
    <w:rsid w:val="00B93FFA"/>
    <w:rsid w:val="00BA0B7C"/>
    <w:rsid w:val="00BA1C2E"/>
    <w:rsid w:val="00BC200B"/>
    <w:rsid w:val="00BC4756"/>
    <w:rsid w:val="00BC4953"/>
    <w:rsid w:val="00BC69A4"/>
    <w:rsid w:val="00BC6EC7"/>
    <w:rsid w:val="00BD0353"/>
    <w:rsid w:val="00BD1F7A"/>
    <w:rsid w:val="00BE0680"/>
    <w:rsid w:val="00BE305F"/>
    <w:rsid w:val="00BE35C1"/>
    <w:rsid w:val="00BE404B"/>
    <w:rsid w:val="00BE7BA3"/>
    <w:rsid w:val="00BF0896"/>
    <w:rsid w:val="00BF0D41"/>
    <w:rsid w:val="00BF2B37"/>
    <w:rsid w:val="00BF5682"/>
    <w:rsid w:val="00BF7B09"/>
    <w:rsid w:val="00C05260"/>
    <w:rsid w:val="00C059B9"/>
    <w:rsid w:val="00C076B9"/>
    <w:rsid w:val="00C13356"/>
    <w:rsid w:val="00C20A95"/>
    <w:rsid w:val="00C219D1"/>
    <w:rsid w:val="00C23011"/>
    <w:rsid w:val="00C2692F"/>
    <w:rsid w:val="00C3207C"/>
    <w:rsid w:val="00C36619"/>
    <w:rsid w:val="00C400E1"/>
    <w:rsid w:val="00C41187"/>
    <w:rsid w:val="00C437BC"/>
    <w:rsid w:val="00C55247"/>
    <w:rsid w:val="00C56120"/>
    <w:rsid w:val="00C63C31"/>
    <w:rsid w:val="00C65C48"/>
    <w:rsid w:val="00C734BD"/>
    <w:rsid w:val="00C74408"/>
    <w:rsid w:val="00C757A0"/>
    <w:rsid w:val="00C760DE"/>
    <w:rsid w:val="00C80818"/>
    <w:rsid w:val="00C82630"/>
    <w:rsid w:val="00C85B4E"/>
    <w:rsid w:val="00C87578"/>
    <w:rsid w:val="00C907F7"/>
    <w:rsid w:val="00C91531"/>
    <w:rsid w:val="00C96B33"/>
    <w:rsid w:val="00CA2103"/>
    <w:rsid w:val="00CA3A17"/>
    <w:rsid w:val="00CA4984"/>
    <w:rsid w:val="00CA6E65"/>
    <w:rsid w:val="00CB21E8"/>
    <w:rsid w:val="00CB4728"/>
    <w:rsid w:val="00CB6B99"/>
    <w:rsid w:val="00CB7A4F"/>
    <w:rsid w:val="00CC3AAB"/>
    <w:rsid w:val="00CD0F56"/>
    <w:rsid w:val="00CE20C0"/>
    <w:rsid w:val="00CE4C87"/>
    <w:rsid w:val="00CE544A"/>
    <w:rsid w:val="00CF038C"/>
    <w:rsid w:val="00CF093A"/>
    <w:rsid w:val="00D01361"/>
    <w:rsid w:val="00D02F28"/>
    <w:rsid w:val="00D0596E"/>
    <w:rsid w:val="00D11E1C"/>
    <w:rsid w:val="00D1328A"/>
    <w:rsid w:val="00D160B0"/>
    <w:rsid w:val="00D17F94"/>
    <w:rsid w:val="00D223FC"/>
    <w:rsid w:val="00D24240"/>
    <w:rsid w:val="00D2538A"/>
    <w:rsid w:val="00D26D1E"/>
    <w:rsid w:val="00D33FBF"/>
    <w:rsid w:val="00D4126C"/>
    <w:rsid w:val="00D461DC"/>
    <w:rsid w:val="00D474CF"/>
    <w:rsid w:val="00D523EF"/>
    <w:rsid w:val="00D52B3B"/>
    <w:rsid w:val="00D552D5"/>
    <w:rsid w:val="00D5547E"/>
    <w:rsid w:val="00D566E2"/>
    <w:rsid w:val="00D67965"/>
    <w:rsid w:val="00D70102"/>
    <w:rsid w:val="00D710E8"/>
    <w:rsid w:val="00D748C1"/>
    <w:rsid w:val="00D75EC6"/>
    <w:rsid w:val="00D80FE1"/>
    <w:rsid w:val="00D8270A"/>
    <w:rsid w:val="00D860E2"/>
    <w:rsid w:val="00D869A1"/>
    <w:rsid w:val="00DA413F"/>
    <w:rsid w:val="00DA4584"/>
    <w:rsid w:val="00DA47BC"/>
    <w:rsid w:val="00DA614B"/>
    <w:rsid w:val="00DB087C"/>
    <w:rsid w:val="00DB6F51"/>
    <w:rsid w:val="00DB7AD7"/>
    <w:rsid w:val="00DC3060"/>
    <w:rsid w:val="00DD2882"/>
    <w:rsid w:val="00DD6682"/>
    <w:rsid w:val="00DE0FB2"/>
    <w:rsid w:val="00DE5569"/>
    <w:rsid w:val="00DE647B"/>
    <w:rsid w:val="00DE6E57"/>
    <w:rsid w:val="00DF093E"/>
    <w:rsid w:val="00DF3F39"/>
    <w:rsid w:val="00DF5D4E"/>
    <w:rsid w:val="00E01F42"/>
    <w:rsid w:val="00E05CAA"/>
    <w:rsid w:val="00E15C69"/>
    <w:rsid w:val="00E16499"/>
    <w:rsid w:val="00E206D6"/>
    <w:rsid w:val="00E27035"/>
    <w:rsid w:val="00E3366E"/>
    <w:rsid w:val="00E45312"/>
    <w:rsid w:val="00E508A1"/>
    <w:rsid w:val="00E52086"/>
    <w:rsid w:val="00E543A6"/>
    <w:rsid w:val="00E54BD5"/>
    <w:rsid w:val="00E551C4"/>
    <w:rsid w:val="00E60479"/>
    <w:rsid w:val="00E60E14"/>
    <w:rsid w:val="00E61D73"/>
    <w:rsid w:val="00E73684"/>
    <w:rsid w:val="00E818D6"/>
    <w:rsid w:val="00E81AE0"/>
    <w:rsid w:val="00E84D06"/>
    <w:rsid w:val="00E87F7A"/>
    <w:rsid w:val="00E91E54"/>
    <w:rsid w:val="00E94B3E"/>
    <w:rsid w:val="00E96BD7"/>
    <w:rsid w:val="00E97CC8"/>
    <w:rsid w:val="00EA0DB1"/>
    <w:rsid w:val="00EA0EE9"/>
    <w:rsid w:val="00EA5E80"/>
    <w:rsid w:val="00EA5F22"/>
    <w:rsid w:val="00EB442A"/>
    <w:rsid w:val="00EC0416"/>
    <w:rsid w:val="00EC1C15"/>
    <w:rsid w:val="00EC3050"/>
    <w:rsid w:val="00EC514D"/>
    <w:rsid w:val="00ED065C"/>
    <w:rsid w:val="00ED416B"/>
    <w:rsid w:val="00ED518C"/>
    <w:rsid w:val="00ED52CA"/>
    <w:rsid w:val="00ED5860"/>
    <w:rsid w:val="00EE149B"/>
    <w:rsid w:val="00EE35C9"/>
    <w:rsid w:val="00EE3746"/>
    <w:rsid w:val="00EF16E0"/>
    <w:rsid w:val="00F00FE6"/>
    <w:rsid w:val="00F033D8"/>
    <w:rsid w:val="00F03F3C"/>
    <w:rsid w:val="00F04BAD"/>
    <w:rsid w:val="00F05ECA"/>
    <w:rsid w:val="00F116D6"/>
    <w:rsid w:val="00F1196F"/>
    <w:rsid w:val="00F122B1"/>
    <w:rsid w:val="00F26E21"/>
    <w:rsid w:val="00F309B1"/>
    <w:rsid w:val="00F30A2E"/>
    <w:rsid w:val="00F32873"/>
    <w:rsid w:val="00F32E83"/>
    <w:rsid w:val="00F34408"/>
    <w:rsid w:val="00F35070"/>
    <w:rsid w:val="00F3566E"/>
    <w:rsid w:val="00F375FB"/>
    <w:rsid w:val="00F41755"/>
    <w:rsid w:val="00F41AC1"/>
    <w:rsid w:val="00F4367A"/>
    <w:rsid w:val="00F445B1"/>
    <w:rsid w:val="00F45CD4"/>
    <w:rsid w:val="00F54E42"/>
    <w:rsid w:val="00F66DCA"/>
    <w:rsid w:val="00F700D1"/>
    <w:rsid w:val="00F74F53"/>
    <w:rsid w:val="00F7606D"/>
    <w:rsid w:val="00F80FC1"/>
    <w:rsid w:val="00F81670"/>
    <w:rsid w:val="00F82024"/>
    <w:rsid w:val="00F85DF4"/>
    <w:rsid w:val="00F865A3"/>
    <w:rsid w:val="00F946C9"/>
    <w:rsid w:val="00F9522E"/>
    <w:rsid w:val="00F95BC9"/>
    <w:rsid w:val="00F96B7E"/>
    <w:rsid w:val="00FA3500"/>
    <w:rsid w:val="00FA624C"/>
    <w:rsid w:val="00FB3B71"/>
    <w:rsid w:val="00FB6A9E"/>
    <w:rsid w:val="00FC2675"/>
    <w:rsid w:val="00FD0FAC"/>
    <w:rsid w:val="00FD1DFA"/>
    <w:rsid w:val="00FD4966"/>
    <w:rsid w:val="00FD5886"/>
    <w:rsid w:val="00FE14D0"/>
    <w:rsid w:val="00FE57DC"/>
    <w:rsid w:val="00FE5F05"/>
    <w:rsid w:val="00FE6E6B"/>
    <w:rsid w:val="00FF095A"/>
    <w:rsid w:val="00FF53DF"/>
    <w:rsid w:val="012460D6"/>
    <w:rsid w:val="02072BA8"/>
    <w:rsid w:val="0287E82A"/>
    <w:rsid w:val="02AB56F3"/>
    <w:rsid w:val="04284B87"/>
    <w:rsid w:val="04915A68"/>
    <w:rsid w:val="05CEA64D"/>
    <w:rsid w:val="061299D8"/>
    <w:rsid w:val="0629DD61"/>
    <w:rsid w:val="06FC854E"/>
    <w:rsid w:val="0710BB9B"/>
    <w:rsid w:val="07E093D1"/>
    <w:rsid w:val="08612AF7"/>
    <w:rsid w:val="086B0F04"/>
    <w:rsid w:val="08A8E222"/>
    <w:rsid w:val="0939A38A"/>
    <w:rsid w:val="09EA6934"/>
    <w:rsid w:val="0A1C546A"/>
    <w:rsid w:val="0A996ACD"/>
    <w:rsid w:val="0AFF6EB2"/>
    <w:rsid w:val="0B0BE9F3"/>
    <w:rsid w:val="0B2036D8"/>
    <w:rsid w:val="0B634DC6"/>
    <w:rsid w:val="0BC4DFF5"/>
    <w:rsid w:val="0C9B31B2"/>
    <w:rsid w:val="0E0F4BEC"/>
    <w:rsid w:val="0E8C9897"/>
    <w:rsid w:val="106421EE"/>
    <w:rsid w:val="10871053"/>
    <w:rsid w:val="1098DC57"/>
    <w:rsid w:val="10D6FE06"/>
    <w:rsid w:val="114C5F09"/>
    <w:rsid w:val="1200FACE"/>
    <w:rsid w:val="12E744BB"/>
    <w:rsid w:val="13140233"/>
    <w:rsid w:val="13C09801"/>
    <w:rsid w:val="13D64D59"/>
    <w:rsid w:val="14D6759F"/>
    <w:rsid w:val="14DBAD69"/>
    <w:rsid w:val="16680957"/>
    <w:rsid w:val="171F538E"/>
    <w:rsid w:val="1748BC9F"/>
    <w:rsid w:val="17513DD5"/>
    <w:rsid w:val="18A47893"/>
    <w:rsid w:val="18F23446"/>
    <w:rsid w:val="1A3B1D4F"/>
    <w:rsid w:val="1A53C1EF"/>
    <w:rsid w:val="1A6DF2E8"/>
    <w:rsid w:val="1BE088B0"/>
    <w:rsid w:val="1D080B8E"/>
    <w:rsid w:val="1D2FA919"/>
    <w:rsid w:val="1D79CE75"/>
    <w:rsid w:val="1E356976"/>
    <w:rsid w:val="1E95FC1A"/>
    <w:rsid w:val="1F01444C"/>
    <w:rsid w:val="1F95BB57"/>
    <w:rsid w:val="1FDCE7AD"/>
    <w:rsid w:val="2187760D"/>
    <w:rsid w:val="219C66AC"/>
    <w:rsid w:val="223769AC"/>
    <w:rsid w:val="223850B6"/>
    <w:rsid w:val="229BB4EA"/>
    <w:rsid w:val="2383C877"/>
    <w:rsid w:val="23E27E15"/>
    <w:rsid w:val="252A61D1"/>
    <w:rsid w:val="26176AC3"/>
    <w:rsid w:val="26BBB91D"/>
    <w:rsid w:val="2743C096"/>
    <w:rsid w:val="27ED9F22"/>
    <w:rsid w:val="291D43CD"/>
    <w:rsid w:val="29704933"/>
    <w:rsid w:val="29C91C3A"/>
    <w:rsid w:val="2A4FE5E6"/>
    <w:rsid w:val="2AE0D329"/>
    <w:rsid w:val="2B7BAFE9"/>
    <w:rsid w:val="2BB29E7E"/>
    <w:rsid w:val="2C08DC99"/>
    <w:rsid w:val="2C0F9C71"/>
    <w:rsid w:val="2D0CB218"/>
    <w:rsid w:val="2E6D5454"/>
    <w:rsid w:val="2F2A85A0"/>
    <w:rsid w:val="2FCE67FB"/>
    <w:rsid w:val="30AFE740"/>
    <w:rsid w:val="30DCBF99"/>
    <w:rsid w:val="31D9CD9A"/>
    <w:rsid w:val="31F98F7B"/>
    <w:rsid w:val="3272A26C"/>
    <w:rsid w:val="33B7281E"/>
    <w:rsid w:val="33FF7DAA"/>
    <w:rsid w:val="349D5526"/>
    <w:rsid w:val="34EA19ED"/>
    <w:rsid w:val="35B83FC8"/>
    <w:rsid w:val="35BAD15A"/>
    <w:rsid w:val="361E7983"/>
    <w:rsid w:val="3749CBC6"/>
    <w:rsid w:val="375444E5"/>
    <w:rsid w:val="375C46DC"/>
    <w:rsid w:val="37FFB4D7"/>
    <w:rsid w:val="38BF9752"/>
    <w:rsid w:val="395C47E3"/>
    <w:rsid w:val="397B3F40"/>
    <w:rsid w:val="398B4A81"/>
    <w:rsid w:val="39A05735"/>
    <w:rsid w:val="39F1EABC"/>
    <w:rsid w:val="3A6B15B6"/>
    <w:rsid w:val="3B65C49F"/>
    <w:rsid w:val="3CC14F5D"/>
    <w:rsid w:val="3D3B0069"/>
    <w:rsid w:val="3D925D07"/>
    <w:rsid w:val="3D9882EA"/>
    <w:rsid w:val="3DF14DDC"/>
    <w:rsid w:val="3DF643ED"/>
    <w:rsid w:val="3EB8861C"/>
    <w:rsid w:val="3EBA0DA8"/>
    <w:rsid w:val="3EF71E4E"/>
    <w:rsid w:val="3F74E53E"/>
    <w:rsid w:val="3FB2368D"/>
    <w:rsid w:val="400171DC"/>
    <w:rsid w:val="40063A47"/>
    <w:rsid w:val="405B0950"/>
    <w:rsid w:val="40774643"/>
    <w:rsid w:val="413EB6CB"/>
    <w:rsid w:val="41571A7F"/>
    <w:rsid w:val="415D9B2F"/>
    <w:rsid w:val="41744A7A"/>
    <w:rsid w:val="41970B5E"/>
    <w:rsid w:val="41A8FC7A"/>
    <w:rsid w:val="41B68058"/>
    <w:rsid w:val="42DDDBA8"/>
    <w:rsid w:val="42F275EA"/>
    <w:rsid w:val="451A1936"/>
    <w:rsid w:val="4556F90C"/>
    <w:rsid w:val="45A743D5"/>
    <w:rsid w:val="45AC37DD"/>
    <w:rsid w:val="45BBD153"/>
    <w:rsid w:val="45BEA778"/>
    <w:rsid w:val="45C5ECFF"/>
    <w:rsid w:val="46CF963A"/>
    <w:rsid w:val="472AF781"/>
    <w:rsid w:val="47687190"/>
    <w:rsid w:val="47818E53"/>
    <w:rsid w:val="47E42C71"/>
    <w:rsid w:val="47F273E0"/>
    <w:rsid w:val="4861A998"/>
    <w:rsid w:val="4876A686"/>
    <w:rsid w:val="4A49E8D5"/>
    <w:rsid w:val="4ABAD85F"/>
    <w:rsid w:val="4B84F9CA"/>
    <w:rsid w:val="4C2D167E"/>
    <w:rsid w:val="4C36344A"/>
    <w:rsid w:val="4C81E4A3"/>
    <w:rsid w:val="4D6989D3"/>
    <w:rsid w:val="4E780D21"/>
    <w:rsid w:val="4E92055B"/>
    <w:rsid w:val="4EF48FA4"/>
    <w:rsid w:val="4F43C41E"/>
    <w:rsid w:val="4F966FB6"/>
    <w:rsid w:val="5068030F"/>
    <w:rsid w:val="52BCC0BA"/>
    <w:rsid w:val="533B3AF6"/>
    <w:rsid w:val="5353493B"/>
    <w:rsid w:val="535BCC28"/>
    <w:rsid w:val="5449DD91"/>
    <w:rsid w:val="54EE2273"/>
    <w:rsid w:val="5602BFF8"/>
    <w:rsid w:val="561E3DD4"/>
    <w:rsid w:val="56B917B3"/>
    <w:rsid w:val="57A32ECB"/>
    <w:rsid w:val="57FBD23D"/>
    <w:rsid w:val="5808269C"/>
    <w:rsid w:val="5832B0E0"/>
    <w:rsid w:val="5889DBC9"/>
    <w:rsid w:val="58B4C290"/>
    <w:rsid w:val="592F1353"/>
    <w:rsid w:val="59D7D3BC"/>
    <w:rsid w:val="59D93B67"/>
    <w:rsid w:val="59FC9BBD"/>
    <w:rsid w:val="5A223D13"/>
    <w:rsid w:val="5B78105C"/>
    <w:rsid w:val="5B818A7E"/>
    <w:rsid w:val="5BF36A27"/>
    <w:rsid w:val="5C094726"/>
    <w:rsid w:val="5C2B989B"/>
    <w:rsid w:val="5CBE517D"/>
    <w:rsid w:val="5CDC67AB"/>
    <w:rsid w:val="5CF2F5D3"/>
    <w:rsid w:val="5D1D908A"/>
    <w:rsid w:val="5D71F95F"/>
    <w:rsid w:val="5D81E474"/>
    <w:rsid w:val="5E0FFF6E"/>
    <w:rsid w:val="5E6B8486"/>
    <w:rsid w:val="5E79B653"/>
    <w:rsid w:val="5E8099C8"/>
    <w:rsid w:val="5F1026E6"/>
    <w:rsid w:val="5FB335AE"/>
    <w:rsid w:val="60C927E5"/>
    <w:rsid w:val="61503EDB"/>
    <w:rsid w:val="617A1636"/>
    <w:rsid w:val="61922657"/>
    <w:rsid w:val="61D550E9"/>
    <w:rsid w:val="62D7C63F"/>
    <w:rsid w:val="63D811F3"/>
    <w:rsid w:val="65444851"/>
    <w:rsid w:val="657286C4"/>
    <w:rsid w:val="65912E93"/>
    <w:rsid w:val="65CD2A46"/>
    <w:rsid w:val="65DA64D0"/>
    <w:rsid w:val="65E54A79"/>
    <w:rsid w:val="6661516E"/>
    <w:rsid w:val="6705CB2F"/>
    <w:rsid w:val="67763C94"/>
    <w:rsid w:val="685CF60D"/>
    <w:rsid w:val="6888EFEE"/>
    <w:rsid w:val="68A4BF98"/>
    <w:rsid w:val="68AE5582"/>
    <w:rsid w:val="6934B784"/>
    <w:rsid w:val="69410224"/>
    <w:rsid w:val="69C05F75"/>
    <w:rsid w:val="69C0F1C8"/>
    <w:rsid w:val="69D7DC2C"/>
    <w:rsid w:val="6A155496"/>
    <w:rsid w:val="6A38635F"/>
    <w:rsid w:val="6A4C0E48"/>
    <w:rsid w:val="6AB83EFA"/>
    <w:rsid w:val="6AE7835A"/>
    <w:rsid w:val="6B13C821"/>
    <w:rsid w:val="6B3F45FC"/>
    <w:rsid w:val="6C523638"/>
    <w:rsid w:val="6C68FDE1"/>
    <w:rsid w:val="6D8A7C5A"/>
    <w:rsid w:val="6DD96355"/>
    <w:rsid w:val="6E34AA5C"/>
    <w:rsid w:val="6E599AB2"/>
    <w:rsid w:val="6EF1E5C9"/>
    <w:rsid w:val="6F2C80FA"/>
    <w:rsid w:val="6FAF5B8F"/>
    <w:rsid w:val="6FC23526"/>
    <w:rsid w:val="7016964D"/>
    <w:rsid w:val="704D49B2"/>
    <w:rsid w:val="7093F5A7"/>
    <w:rsid w:val="709410E8"/>
    <w:rsid w:val="70B17490"/>
    <w:rsid w:val="70BB03AA"/>
    <w:rsid w:val="70CE5F5A"/>
    <w:rsid w:val="7126238E"/>
    <w:rsid w:val="719C242E"/>
    <w:rsid w:val="71C95304"/>
    <w:rsid w:val="7337D733"/>
    <w:rsid w:val="7437B097"/>
    <w:rsid w:val="74ACA37A"/>
    <w:rsid w:val="74DD5E36"/>
    <w:rsid w:val="74EFB8CF"/>
    <w:rsid w:val="755E5DA7"/>
    <w:rsid w:val="7626C8D4"/>
    <w:rsid w:val="76AB8EA9"/>
    <w:rsid w:val="76CFCA04"/>
    <w:rsid w:val="76DC391E"/>
    <w:rsid w:val="7750A715"/>
    <w:rsid w:val="7752C38A"/>
    <w:rsid w:val="77A35A8B"/>
    <w:rsid w:val="7824E593"/>
    <w:rsid w:val="78BAB63A"/>
    <w:rsid w:val="78C587BF"/>
    <w:rsid w:val="796B438E"/>
    <w:rsid w:val="797F25F2"/>
    <w:rsid w:val="79D91BBA"/>
    <w:rsid w:val="7A2C1293"/>
    <w:rsid w:val="7A731415"/>
    <w:rsid w:val="7A9B31AE"/>
    <w:rsid w:val="7ACC6696"/>
    <w:rsid w:val="7BF71614"/>
    <w:rsid w:val="7C1D14D4"/>
    <w:rsid w:val="7CA2BD96"/>
    <w:rsid w:val="7D0978AE"/>
    <w:rsid w:val="7DF27C18"/>
    <w:rsid w:val="7E2CE386"/>
    <w:rsid w:val="7E3E8BA7"/>
    <w:rsid w:val="7ECA0CCF"/>
    <w:rsid w:val="7F9142B1"/>
    <w:rsid w:val="7FE1DD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AAADDD0-8ACC-4755-91E5-F331F4ED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9"/>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7"/>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6"/>
      </w:numPr>
    </w:pPr>
  </w:style>
  <w:style w:type="paragraph" w:customStyle="1" w:styleId="Bulletpoints">
    <w:name w:val="Bullet points"/>
    <w:basedOn w:val="Normal"/>
    <w:link w:val="BulletpointsChar"/>
    <w:qFormat/>
    <w:rsid w:val="005570B5"/>
    <w:pPr>
      <w:numPr>
        <w:numId w:val="8"/>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10"/>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14"/>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 w:type="character" w:customStyle="1" w:styleId="normaltextrun">
    <w:name w:val="normaltextrun"/>
    <w:basedOn w:val="DefaultParagraphFont"/>
    <w:rsid w:val="0054362C"/>
  </w:style>
  <w:style w:type="character" w:customStyle="1" w:styleId="eop">
    <w:name w:val="eop"/>
    <w:basedOn w:val="DefaultParagraphFont"/>
    <w:rsid w:val="008F3969"/>
  </w:style>
  <w:style w:type="character" w:styleId="FollowedHyperlink">
    <w:name w:val="FollowedHyperlink"/>
    <w:basedOn w:val="DefaultParagraphFont"/>
    <w:semiHidden/>
    <w:unhideWhenUsed/>
    <w:rsid w:val="006A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33629081">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028869709">
      <w:bodyDiv w:val="1"/>
      <w:marLeft w:val="0"/>
      <w:marRight w:val="0"/>
      <w:marTop w:val="0"/>
      <w:marBottom w:val="0"/>
      <w:divBdr>
        <w:top w:val="none" w:sz="0" w:space="0" w:color="auto"/>
        <w:left w:val="none" w:sz="0" w:space="0" w:color="auto"/>
        <w:bottom w:val="none" w:sz="0" w:space="0" w:color="auto"/>
        <w:right w:val="none" w:sz="0" w:space="0" w:color="auto"/>
      </w:divBdr>
    </w:div>
    <w:div w:id="1156453558">
      <w:bodyDiv w:val="1"/>
      <w:marLeft w:val="0"/>
      <w:marRight w:val="0"/>
      <w:marTop w:val="0"/>
      <w:marBottom w:val="0"/>
      <w:divBdr>
        <w:top w:val="none" w:sz="0" w:space="0" w:color="auto"/>
        <w:left w:val="none" w:sz="0" w:space="0" w:color="auto"/>
        <w:bottom w:val="none" w:sz="0" w:space="0" w:color="auto"/>
        <w:right w:val="none" w:sz="0" w:space="0" w:color="auto"/>
      </w:divBdr>
      <w:divsChild>
        <w:div w:id="1655723446">
          <w:marLeft w:val="0"/>
          <w:marRight w:val="0"/>
          <w:marTop w:val="0"/>
          <w:marBottom w:val="0"/>
          <w:divBdr>
            <w:top w:val="none" w:sz="0" w:space="0" w:color="auto"/>
            <w:left w:val="none" w:sz="0" w:space="0" w:color="auto"/>
            <w:bottom w:val="none" w:sz="0" w:space="0" w:color="auto"/>
            <w:right w:val="none" w:sz="0" w:space="0" w:color="auto"/>
          </w:divBdr>
        </w:div>
      </w:divsChild>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5549982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06895106">
      <w:bodyDiv w:val="1"/>
      <w:marLeft w:val="0"/>
      <w:marRight w:val="0"/>
      <w:marTop w:val="0"/>
      <w:marBottom w:val="0"/>
      <w:divBdr>
        <w:top w:val="none" w:sz="0" w:space="0" w:color="auto"/>
        <w:left w:val="none" w:sz="0" w:space="0" w:color="auto"/>
        <w:bottom w:val="none" w:sz="0" w:space="0" w:color="auto"/>
        <w:right w:val="none" w:sz="0" w:space="0" w:color="auto"/>
      </w:divBdr>
    </w:div>
    <w:div w:id="1801605851">
      <w:bodyDiv w:val="1"/>
      <w:marLeft w:val="0"/>
      <w:marRight w:val="0"/>
      <w:marTop w:val="0"/>
      <w:marBottom w:val="0"/>
      <w:divBdr>
        <w:top w:val="none" w:sz="0" w:space="0" w:color="auto"/>
        <w:left w:val="none" w:sz="0" w:space="0" w:color="auto"/>
        <w:bottom w:val="none" w:sz="0" w:space="0" w:color="auto"/>
        <w:right w:val="none" w:sz="0" w:space="0" w:color="auto"/>
      </w:divBdr>
      <w:divsChild>
        <w:div w:id="171066678">
          <w:marLeft w:val="0"/>
          <w:marRight w:val="0"/>
          <w:marTop w:val="0"/>
          <w:marBottom w:val="0"/>
          <w:divBdr>
            <w:top w:val="none" w:sz="0" w:space="0" w:color="auto"/>
            <w:left w:val="none" w:sz="0" w:space="0" w:color="auto"/>
            <w:bottom w:val="none" w:sz="0" w:space="0" w:color="auto"/>
            <w:right w:val="none" w:sz="0" w:space="0" w:color="auto"/>
          </w:divBdr>
        </w:div>
        <w:div w:id="904947637">
          <w:marLeft w:val="0"/>
          <w:marRight w:val="0"/>
          <w:marTop w:val="0"/>
          <w:marBottom w:val="0"/>
          <w:divBdr>
            <w:top w:val="none" w:sz="0" w:space="0" w:color="auto"/>
            <w:left w:val="none" w:sz="0" w:space="0" w:color="auto"/>
            <w:bottom w:val="none" w:sz="0" w:space="0" w:color="auto"/>
            <w:right w:val="none" w:sz="0" w:space="0" w:color="auto"/>
          </w:divBdr>
        </w:div>
        <w:div w:id="2019847131">
          <w:marLeft w:val="0"/>
          <w:marRight w:val="0"/>
          <w:marTop w:val="0"/>
          <w:marBottom w:val="0"/>
          <w:divBdr>
            <w:top w:val="none" w:sz="0" w:space="0" w:color="auto"/>
            <w:left w:val="none" w:sz="0" w:space="0" w:color="auto"/>
            <w:bottom w:val="none" w:sz="0" w:space="0" w:color="auto"/>
            <w:right w:val="none" w:sz="0" w:space="0" w:color="auto"/>
          </w:divBdr>
        </w:div>
      </w:divsChild>
    </w:div>
    <w:div w:id="1938630132">
      <w:bodyDiv w:val="1"/>
      <w:marLeft w:val="0"/>
      <w:marRight w:val="0"/>
      <w:marTop w:val="0"/>
      <w:marBottom w:val="0"/>
      <w:divBdr>
        <w:top w:val="none" w:sz="0" w:space="0" w:color="auto"/>
        <w:left w:val="none" w:sz="0" w:space="0" w:color="auto"/>
        <w:bottom w:val="none" w:sz="0" w:space="0" w:color="auto"/>
        <w:right w:val="none" w:sz="0" w:space="0" w:color="auto"/>
      </w:divBdr>
      <w:divsChild>
        <w:div w:id="110561313">
          <w:marLeft w:val="0"/>
          <w:marRight w:val="0"/>
          <w:marTop w:val="0"/>
          <w:marBottom w:val="0"/>
          <w:divBdr>
            <w:top w:val="none" w:sz="0" w:space="0" w:color="auto"/>
            <w:left w:val="none" w:sz="0" w:space="0" w:color="auto"/>
            <w:bottom w:val="none" w:sz="0" w:space="0" w:color="auto"/>
            <w:right w:val="none" w:sz="0" w:space="0" w:color="auto"/>
          </w:divBdr>
        </w:div>
        <w:div w:id="665594517">
          <w:marLeft w:val="0"/>
          <w:marRight w:val="0"/>
          <w:marTop w:val="0"/>
          <w:marBottom w:val="0"/>
          <w:divBdr>
            <w:top w:val="none" w:sz="0" w:space="0" w:color="auto"/>
            <w:left w:val="none" w:sz="0" w:space="0" w:color="auto"/>
            <w:bottom w:val="none" w:sz="0" w:space="0" w:color="auto"/>
            <w:right w:val="none" w:sz="0" w:space="0" w:color="auto"/>
          </w:divBdr>
        </w:div>
        <w:div w:id="1082606000">
          <w:marLeft w:val="405"/>
          <w:marRight w:val="0"/>
          <w:marTop w:val="0"/>
          <w:marBottom w:val="0"/>
          <w:divBdr>
            <w:top w:val="none" w:sz="0" w:space="0" w:color="auto"/>
            <w:left w:val="none" w:sz="0" w:space="0" w:color="auto"/>
            <w:bottom w:val="none" w:sz="0" w:space="0" w:color="auto"/>
            <w:right w:val="none" w:sz="0" w:space="0" w:color="auto"/>
          </w:divBdr>
        </w:div>
        <w:div w:id="1666085441">
          <w:marLeft w:val="405"/>
          <w:marRight w:val="0"/>
          <w:marTop w:val="0"/>
          <w:marBottom w:val="0"/>
          <w:divBdr>
            <w:top w:val="none" w:sz="0" w:space="0" w:color="auto"/>
            <w:left w:val="none" w:sz="0" w:space="0" w:color="auto"/>
            <w:bottom w:val="none" w:sz="0" w:space="0" w:color="auto"/>
            <w:right w:val="none" w:sz="0" w:space="0" w:color="auto"/>
          </w:divBdr>
        </w:div>
      </w:divsChild>
    </w:div>
    <w:div w:id="2095468424">
      <w:bodyDiv w:val="1"/>
      <w:marLeft w:val="0"/>
      <w:marRight w:val="0"/>
      <w:marTop w:val="0"/>
      <w:marBottom w:val="0"/>
      <w:divBdr>
        <w:top w:val="none" w:sz="0" w:space="0" w:color="auto"/>
        <w:left w:val="none" w:sz="0" w:space="0" w:color="auto"/>
        <w:bottom w:val="none" w:sz="0" w:space="0" w:color="auto"/>
        <w:right w:val="none" w:sz="0" w:space="0" w:color="auto"/>
      </w:divBdr>
      <w:divsChild>
        <w:div w:id="1174493133">
          <w:marLeft w:val="0"/>
          <w:marRight w:val="0"/>
          <w:marTop w:val="0"/>
          <w:marBottom w:val="0"/>
          <w:divBdr>
            <w:top w:val="none" w:sz="0" w:space="0" w:color="auto"/>
            <w:left w:val="none" w:sz="0" w:space="0" w:color="auto"/>
            <w:bottom w:val="none" w:sz="0" w:space="0" w:color="auto"/>
            <w:right w:val="none" w:sz="0" w:space="0" w:color="auto"/>
          </w:divBdr>
        </w:div>
        <w:div w:id="1541476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xfordcitycouncil.sharepoint.com/:w:/s/RapidRehousingTeam-Management/Ec6ycNBDvGRHn0mvybjViY0B8NSo03VO4f6V1Dqt5giQrQ?e=mxSXP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xfordcitycouncil.sharepoint.com/:w:/s/RapidRehousingTeam-Management/EW4sF84xsddFkLyHNJli2BUBfFtDhgmMs3YYJISQttAwiQ?e=yTixUq"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4289e97-0d63-4019-8f44-420cabf9f53d" xsi:nil="true"/>
    <lcf76f155ced4ddcb4097134ff3c332f xmlns="fc5796d7-5eaa-4285-837b-3bf5574095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0BE0633AB60A4598BE9BC44FA12C9D" ma:contentTypeVersion="13" ma:contentTypeDescription="Create a new document." ma:contentTypeScope="" ma:versionID="d624f2945d92a00c7af28c33102189da">
  <xsd:schema xmlns:xsd="http://www.w3.org/2001/XMLSchema" xmlns:xs="http://www.w3.org/2001/XMLSchema" xmlns:p="http://schemas.microsoft.com/office/2006/metadata/properties" xmlns:ns2="fc5796d7-5eaa-4285-837b-3bf557409554" xmlns:ns3="f4289e97-0d63-4019-8f44-420cabf9f53d" targetNamespace="http://schemas.microsoft.com/office/2006/metadata/properties" ma:root="true" ma:fieldsID="6e3268fb05590a3aafb785aabf3f701b" ns2:_="" ns3:_="">
    <xsd:import namespace="fc5796d7-5eaa-4285-837b-3bf557409554"/>
    <xsd:import namespace="f4289e97-0d63-4019-8f44-420cabf9f5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796d7-5eaa-4285-837b-3bf55740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89e97-0d63-4019-8f44-420cabf9f5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5a5189b-5884-48bc-a0f8-26ff83d07832}" ma:internalName="TaxCatchAll" ma:showField="CatchAllData" ma:web="f4289e97-0d63-4019-8f44-420cabf9f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2.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3.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f4289e97-0d63-4019-8f44-420cabf9f53d"/>
    <ds:schemaRef ds:uri="fc5796d7-5eaa-4285-837b-3bf557409554"/>
  </ds:schemaRefs>
</ds:datastoreItem>
</file>

<file path=customXml/itemProps4.xml><?xml version="1.0" encoding="utf-8"?>
<ds:datastoreItem xmlns:ds="http://schemas.openxmlformats.org/officeDocument/2006/customXml" ds:itemID="{B522312C-213F-4A10-AC62-D07349AE0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796d7-5eaa-4285-837b-3bf557409554"/>
    <ds:schemaRef ds:uri="f4289e97-0d63-4019-8f44-420cabf9f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1734</Words>
  <Characters>9885</Characters>
  <Application>Microsoft Office Word</Application>
  <DocSecurity>0</DocSecurity>
  <Lines>82</Lines>
  <Paragraphs>23</Paragraphs>
  <ScaleCrop>false</ScaleCrop>
  <Company>Oxford City Council</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MCCOLLUM Brenda</cp:lastModifiedBy>
  <cp:revision>3</cp:revision>
  <cp:lastPrinted>2015-07-03T05:50:00Z</cp:lastPrinted>
  <dcterms:created xsi:type="dcterms:W3CDTF">2025-10-20T08:05:00Z</dcterms:created>
  <dcterms:modified xsi:type="dcterms:W3CDTF">2025-10-20T09:03:00Z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0x010100AD0BE0633AB60A4598BE9BC44FA12C9D</vt:lpwstr>
  </property>
  <property fmtid="{D5CDD505-2E9C-101B-9397-08002B2CF9AE}" pid="3" name="docLang">
    <vt:lpwstr>en</vt:lpwstr>
  </property>
</Properties>
</file>